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46" w:rsidRPr="00094646" w:rsidRDefault="0033619F" w:rsidP="00094646">
      <w:pPr>
        <w:bidi/>
        <w:spacing w:after="200" w:line="276" w:lineRule="auto"/>
        <w:rPr>
          <w:rFonts w:asciiTheme="majorBidi" w:eastAsia="Times New Roman" w:hAnsiTheme="majorBidi" w:cstheme="majorBidi"/>
          <w:b/>
          <w:bCs/>
          <w:sz w:val="28"/>
          <w:szCs w:val="28"/>
          <w:u w:val="single"/>
          <w:rtl/>
          <w:lang w:bidi="ar-JO"/>
        </w:rPr>
      </w:pPr>
      <w:r>
        <w:rPr>
          <w:rFonts w:asciiTheme="majorBidi" w:hAnsiTheme="majorBidi" w:cstheme="majorBidi"/>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9pt;margin-top:-108.85pt;width:163.85pt;height:88.2pt;z-index:251659264;mso-position-horizontal-relative:text;mso-position-vertical-relative:text;mso-width-relative:page;mso-height-relative:page">
            <v:imagedata r:id="rId11" o:title="تقرير+" cropbottom="16758f"/>
          </v:shape>
        </w:pict>
      </w:r>
    </w:p>
    <w:p w:rsidR="00094646" w:rsidRPr="00094646" w:rsidRDefault="00094646" w:rsidP="00094646">
      <w:pPr>
        <w:bidi/>
        <w:spacing w:after="200" w:line="276" w:lineRule="auto"/>
        <w:jc w:val="both"/>
        <w:rPr>
          <w:rFonts w:eastAsia="Times New Roman" w:cs="Calibri"/>
          <w:sz w:val="28"/>
          <w:szCs w:val="28"/>
          <w:rtl/>
          <w:lang w:bidi="ar-JO"/>
        </w:rPr>
      </w:pPr>
    </w:p>
    <w:p w:rsidR="00094646" w:rsidRPr="00094646" w:rsidRDefault="00094646" w:rsidP="00094646">
      <w:pPr>
        <w:bidi/>
        <w:spacing w:after="200" w:line="276" w:lineRule="auto"/>
        <w:jc w:val="center"/>
        <w:rPr>
          <w:rFonts w:eastAsia="Times New Roman" w:cs="Calibri"/>
          <w:b/>
          <w:bCs/>
          <w:sz w:val="28"/>
          <w:szCs w:val="28"/>
          <w:u w:val="single"/>
          <w:rtl/>
          <w:lang w:bidi="ar-JO"/>
        </w:rPr>
      </w:pPr>
      <w:r w:rsidRPr="00094646">
        <w:rPr>
          <w:rFonts w:eastAsia="Times New Roman" w:cs="Calibri" w:hint="cs"/>
          <w:b/>
          <w:bCs/>
          <w:sz w:val="36"/>
          <w:szCs w:val="36"/>
          <w:u w:val="single"/>
          <w:rtl/>
          <w:lang w:bidi="ar-JO"/>
        </w:rPr>
        <w:t>"حماية الصحفيين" يرصد تغطيات</w:t>
      </w:r>
      <w:r w:rsidRPr="00094646">
        <w:rPr>
          <w:rFonts w:eastAsia="Times New Roman" w:cs="Calibri"/>
          <w:b/>
          <w:bCs/>
          <w:sz w:val="36"/>
          <w:szCs w:val="36"/>
          <w:u w:val="single"/>
          <w:rtl/>
          <w:lang w:bidi="ar-JO"/>
        </w:rPr>
        <w:t xml:space="preserve"> الإعلام </w:t>
      </w:r>
      <w:r w:rsidRPr="00094646">
        <w:rPr>
          <w:rFonts w:eastAsia="Times New Roman" w:cs="Calibri" w:hint="cs"/>
          <w:b/>
          <w:bCs/>
          <w:sz w:val="36"/>
          <w:szCs w:val="36"/>
          <w:u w:val="single"/>
          <w:rtl/>
          <w:lang w:bidi="ar-JO"/>
        </w:rPr>
        <w:t>لـ "تجريف محمية فيفا"</w:t>
      </w:r>
    </w:p>
    <w:p w:rsidR="00094646" w:rsidRPr="00094646" w:rsidRDefault="00094646" w:rsidP="00094646">
      <w:pPr>
        <w:numPr>
          <w:ilvl w:val="0"/>
          <w:numId w:val="43"/>
        </w:numPr>
        <w:bidi/>
        <w:spacing w:after="200" w:line="276" w:lineRule="auto"/>
        <w:contextualSpacing/>
        <w:rPr>
          <w:rFonts w:eastAsia="Times New Roman" w:cs="Calibri"/>
          <w:b/>
          <w:bCs/>
          <w:sz w:val="28"/>
          <w:szCs w:val="28"/>
          <w:rtl/>
          <w:lang w:bidi="ar-JO"/>
        </w:rPr>
      </w:pPr>
      <w:r w:rsidRPr="00094646">
        <w:rPr>
          <w:rFonts w:eastAsia="Times New Roman" w:cs="Calibri" w:hint="cs"/>
          <w:b/>
          <w:bCs/>
          <w:sz w:val="28"/>
          <w:szCs w:val="28"/>
          <w:rtl/>
          <w:lang w:bidi="ar-JO"/>
        </w:rPr>
        <w:t>تراخٍ إعلامي في التغطية وانحياز بنسبة 63 % للرواية الرسمية.</w:t>
      </w:r>
    </w:p>
    <w:p w:rsidR="00094646" w:rsidRPr="00094646" w:rsidRDefault="00094646" w:rsidP="00094646">
      <w:pPr>
        <w:numPr>
          <w:ilvl w:val="0"/>
          <w:numId w:val="43"/>
        </w:numPr>
        <w:bidi/>
        <w:spacing w:after="200" w:line="276" w:lineRule="auto"/>
        <w:contextualSpacing/>
        <w:rPr>
          <w:rFonts w:eastAsia="Times New Roman" w:cs="Calibri"/>
          <w:b/>
          <w:bCs/>
          <w:sz w:val="28"/>
          <w:szCs w:val="28"/>
          <w:lang w:bidi="ar-JO"/>
        </w:rPr>
      </w:pPr>
      <w:r w:rsidRPr="00094646">
        <w:rPr>
          <w:rFonts w:eastAsia="Times New Roman" w:cs="Calibri" w:hint="cs"/>
          <w:b/>
          <w:bCs/>
          <w:sz w:val="28"/>
          <w:szCs w:val="28"/>
          <w:rtl/>
          <w:lang w:bidi="ar-JO"/>
        </w:rPr>
        <w:t>غابت المعالجة القانونية واختفى المقال الصحفي و12 مادة لمصدر حكومي مجهول.</w:t>
      </w:r>
    </w:p>
    <w:p w:rsidR="00094646" w:rsidRPr="00094646" w:rsidRDefault="00094646" w:rsidP="00094646">
      <w:pPr>
        <w:numPr>
          <w:ilvl w:val="0"/>
          <w:numId w:val="43"/>
        </w:numPr>
        <w:bidi/>
        <w:spacing w:after="160" w:line="259" w:lineRule="auto"/>
        <w:contextualSpacing/>
        <w:rPr>
          <w:rFonts w:eastAsia="Times New Roman" w:cs="Calibri"/>
          <w:b/>
          <w:bCs/>
          <w:sz w:val="28"/>
          <w:szCs w:val="28"/>
          <w:rtl/>
          <w:lang w:bidi="ar-JO"/>
        </w:rPr>
      </w:pPr>
      <w:r w:rsidRPr="00094646">
        <w:rPr>
          <w:rFonts w:eastAsia="Times New Roman" w:cs="Calibri"/>
          <w:b/>
          <w:bCs/>
          <w:sz w:val="28"/>
          <w:szCs w:val="28"/>
          <w:rtl/>
          <w:lang w:bidi="ar-JO"/>
        </w:rPr>
        <w:t>جريدة الغد نبهت إلى أن ما حدث يُشكل خرقا للاتفاقيات الدولية لحماية التنوع الحيوي والتغير المناخي.</w:t>
      </w:r>
    </w:p>
    <w:p w:rsidR="00094646" w:rsidRPr="00094646" w:rsidRDefault="00094646" w:rsidP="00094646">
      <w:pPr>
        <w:bidi/>
        <w:spacing w:after="200" w:line="276" w:lineRule="auto"/>
        <w:ind w:left="720"/>
        <w:contextualSpacing/>
        <w:rPr>
          <w:rFonts w:eastAsia="Times New Roman" w:cs="Calibri"/>
          <w:b/>
          <w:bCs/>
          <w:sz w:val="28"/>
          <w:szCs w:val="28"/>
          <w:rtl/>
          <w:lang w:bidi="ar-JO"/>
        </w:rPr>
      </w:pPr>
    </w:p>
    <w:p w:rsidR="00094646" w:rsidRPr="00094646" w:rsidRDefault="00094646" w:rsidP="00094646">
      <w:pPr>
        <w:bidi/>
        <w:spacing w:after="200" w:line="276" w:lineRule="auto"/>
        <w:jc w:val="both"/>
        <w:rPr>
          <w:rFonts w:eastAsia="Times New Roman" w:cs="Calibri"/>
          <w:b/>
          <w:bCs/>
          <w:sz w:val="28"/>
          <w:szCs w:val="28"/>
          <w:rtl/>
          <w:lang w:bidi="ar-JO"/>
        </w:rPr>
      </w:pPr>
    </w:p>
    <w:p w:rsidR="00094646" w:rsidRPr="00094646" w:rsidRDefault="00094646" w:rsidP="00094646">
      <w:pPr>
        <w:bidi/>
        <w:spacing w:after="200" w:line="276" w:lineRule="auto"/>
        <w:jc w:val="both"/>
        <w:rPr>
          <w:rFonts w:eastAsia="Times New Roman" w:cs="Calibri"/>
          <w:b/>
          <w:bCs/>
          <w:sz w:val="28"/>
          <w:szCs w:val="28"/>
          <w:u w:val="single"/>
          <w:rtl/>
          <w:lang w:bidi="ar-JO"/>
        </w:rPr>
      </w:pPr>
      <w:r w:rsidRPr="00094646">
        <w:rPr>
          <w:rFonts w:eastAsia="Times New Roman" w:cs="Calibri" w:hint="cs"/>
          <w:b/>
          <w:bCs/>
          <w:sz w:val="28"/>
          <w:szCs w:val="28"/>
          <w:u w:val="single"/>
          <w:rtl/>
          <w:lang w:bidi="ar-JO"/>
        </w:rPr>
        <w:t>مقدمة</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لم تحظَ عملية تجريف 1400 دونم من محمية فيفا باهتمام إعلامي مؤثر وفقا لمعطيات نتائج الرصد والتوثيق التي أجراها وتابعها فريق الرصد في مركز حماية وحرية الصحفيين.</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وبالرغم من الأهمية البيئية للمحمية التي فقدت 40 ألف شجرة نتيجة عمليات التجريف، فقد تعامل</w:t>
      </w:r>
      <w:r w:rsidRPr="00094646">
        <w:rPr>
          <w:rFonts w:eastAsia="Times New Roman" w:cs="Calibri"/>
          <w:sz w:val="28"/>
          <w:szCs w:val="28"/>
          <w:rtl/>
          <w:lang w:bidi="ar-JO"/>
        </w:rPr>
        <w:t xml:space="preserve"> الإعلام ال</w:t>
      </w:r>
      <w:r w:rsidRPr="00094646">
        <w:rPr>
          <w:rFonts w:eastAsia="Times New Roman" w:cs="Calibri" w:hint="cs"/>
          <w:sz w:val="28"/>
          <w:szCs w:val="28"/>
          <w:rtl/>
          <w:lang w:bidi="ar-JO"/>
        </w:rPr>
        <w:t>أردني في عينة الرصد مع هذه القضية باعتبارها حدثا عاديا ولم تقم بإظهار مخاطره البيئية عل بالمحمية التي أنشئت سنة 2011 وتضم تنوعا بيئي</w:t>
      </w:r>
      <w:r w:rsidRPr="00094646">
        <w:rPr>
          <w:rFonts w:eastAsia="Times New Roman" w:cs="Calibri"/>
          <w:sz w:val="28"/>
          <w:szCs w:val="28"/>
          <w:rtl/>
          <w:lang w:bidi="ar-JO"/>
        </w:rPr>
        <w:t xml:space="preserve">ا من حيث الطيور التي تعيش فيها </w:t>
      </w:r>
      <w:r w:rsidRPr="00094646">
        <w:rPr>
          <w:rFonts w:eastAsia="Times New Roman" w:cs="Calibri" w:hint="cs"/>
          <w:sz w:val="28"/>
          <w:szCs w:val="28"/>
          <w:rtl/>
          <w:lang w:bidi="ar-JO"/>
        </w:rPr>
        <w:t>أو من حيث تنوع الأشجار التي تضمها المحمية.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عينة الرصد ومداها الزمني:</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آثر فريق الرصد والتوثيق في مركز حماية وحرية الصحفيين رصد وتوثيق ما نشرته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عينة الرصد التي تمثل 14 وسيلة إعلامية أردنية منها أرع صحف يومية ورقية هي الرأي والغد والدستور والأنباط، و10 وسائل اعلامية الكترونية هي عمون، وجو24، وجفرا، ورؤيا، وسرايا، وسواليف، ومدار الساعة، والبوصلة، والسبيل، ورم.</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وحدد فريق الرصد النطاق الزمني للتوثيق والرصد بدءا من صباح 1/1</w:t>
      </w:r>
      <w:r w:rsidRPr="00094646">
        <w:rPr>
          <w:rFonts w:eastAsia="Times New Roman" w:cs="Calibri"/>
          <w:sz w:val="28"/>
          <w:szCs w:val="28"/>
          <w:rtl/>
          <w:lang w:bidi="ar-JO"/>
        </w:rPr>
        <w:t xml:space="preserve">/ 2020، </w:t>
      </w:r>
      <w:r w:rsidRPr="00094646">
        <w:rPr>
          <w:rFonts w:eastAsia="Times New Roman" w:cs="Calibri" w:hint="cs"/>
          <w:sz w:val="28"/>
          <w:szCs w:val="28"/>
          <w:rtl/>
          <w:lang w:bidi="ar-JO"/>
        </w:rPr>
        <w:t>إلى مساء 10/1/ 2020.</w:t>
      </w:r>
    </w:p>
    <w:p w:rsid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وقرر فريق الرصد عدم الاكتفاء بالرصد الأسبوعي في هذه القضية</w:t>
      </w:r>
      <w:r w:rsidRPr="00094646">
        <w:rPr>
          <w:rFonts w:eastAsia="Times New Roman" w:cs="Calibri"/>
          <w:sz w:val="28"/>
          <w:szCs w:val="28"/>
          <w:rtl/>
          <w:lang w:bidi="ar-JO"/>
        </w:rPr>
        <w:t xml:space="preserve"> وتمديد الرصد </w:t>
      </w:r>
      <w:r w:rsidRPr="00094646">
        <w:rPr>
          <w:rFonts w:eastAsia="Times New Roman" w:cs="Calibri" w:hint="cs"/>
          <w:sz w:val="28"/>
          <w:szCs w:val="28"/>
          <w:rtl/>
          <w:lang w:bidi="ar-JO"/>
        </w:rPr>
        <w:t>إلى عشرة أيام.</w:t>
      </w:r>
    </w:p>
    <w:p w:rsidR="00094646" w:rsidRPr="00094646" w:rsidRDefault="00094646" w:rsidP="00094646">
      <w:pPr>
        <w:bidi/>
        <w:spacing w:after="200" w:line="276" w:lineRule="auto"/>
        <w:jc w:val="both"/>
        <w:rPr>
          <w:rFonts w:eastAsia="Times New Roman" w:cs="Calibri"/>
          <w:sz w:val="28"/>
          <w:szCs w:val="28"/>
          <w:rtl/>
          <w:lang w:bidi="ar-JO"/>
        </w:rPr>
      </w:pPr>
    </w:p>
    <w:p w:rsidR="00094646" w:rsidRPr="00094646" w:rsidRDefault="00094646" w:rsidP="00094646">
      <w:pPr>
        <w:bidi/>
        <w:spacing w:after="200" w:line="276" w:lineRule="auto"/>
        <w:jc w:val="both"/>
        <w:rPr>
          <w:rFonts w:eastAsia="Times New Roman" w:cs="Calibri"/>
          <w:b/>
          <w:bCs/>
          <w:sz w:val="28"/>
          <w:szCs w:val="28"/>
          <w:u w:val="single"/>
          <w:rtl/>
          <w:lang w:bidi="ar-JO"/>
        </w:rPr>
      </w:pPr>
      <w:r w:rsidRPr="00094646">
        <w:rPr>
          <w:rFonts w:eastAsia="Times New Roman" w:cs="Calibri" w:hint="cs"/>
          <w:b/>
          <w:bCs/>
          <w:sz w:val="28"/>
          <w:szCs w:val="28"/>
          <w:u w:val="single"/>
          <w:rtl/>
          <w:lang w:bidi="ar-JO"/>
        </w:rPr>
        <w:lastRenderedPageBreak/>
        <w:t>النتائج</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أظهرت النتائج الكلية لعملية الرصد نشر 44 مادة إعلامية منها (13) مادة في الصحف اليومية الورقية تمثل ما نسبته (29.5</w:t>
      </w:r>
      <w:r w:rsidRPr="00094646">
        <w:rPr>
          <w:rFonts w:eastAsia="Times New Roman" w:cs="Calibri"/>
          <w:sz w:val="28"/>
          <w:szCs w:val="28"/>
          <w:rtl/>
          <w:lang w:bidi="ar-JO"/>
        </w:rPr>
        <w:t>%)، مقابل نشر الصحافة ال</w:t>
      </w:r>
      <w:r w:rsidRPr="00094646">
        <w:rPr>
          <w:rFonts w:eastAsia="Times New Roman" w:cs="Calibri" w:hint="cs"/>
          <w:sz w:val="28"/>
          <w:szCs w:val="28"/>
          <w:rtl/>
          <w:lang w:bidi="ar-JO"/>
        </w:rPr>
        <w:t>إلكترونية (31) مادة تمثل ما نسبته (70.5%) من إجمالي ما تم رصده.</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أولا: المعايير المهنية والحقوقية والقانونية: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1 ــ المصادر المعرفة:</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sz w:val="28"/>
          <w:szCs w:val="28"/>
          <w:rtl/>
          <w:lang w:bidi="ar-JO"/>
        </w:rPr>
        <w:t>يقصد بالمصادر المعرفة تلك المصادر واضحة الهوية والأسماء والمكانة والوظيفة ومدى ارتباطها بالحدث، وعلاقتها به</w:t>
      </w:r>
      <w:r w:rsidRPr="00094646">
        <w:rPr>
          <w:rFonts w:eastAsia="Times New Roman" w:cs="Calibri" w:hint="cs"/>
          <w:sz w:val="28"/>
          <w:szCs w:val="28"/>
          <w:rtl/>
          <w:lang w:bidi="ar-JO"/>
        </w:rPr>
        <w:t>.</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أظهرت نتائج الرصد ضعفا واضحا في اعتماد التغطيات على المصادر المعرفة، فمن بين 44 مادة مكررة فإن عدد المواد التي اعتمدت فيها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عينة الرصد على المصادر المعرفة بلغ 29 مادة فقط تمثل ما نسبته (65.9%)، وهي نسبة متدنية ستؤثر حتما على مصداقية المعلومات المقدمة للجمهور.</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2 ــ المصادر المجهولة:</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sz w:val="28"/>
          <w:szCs w:val="28"/>
          <w:rtl/>
          <w:lang w:bidi="ar-JO"/>
        </w:rPr>
        <w:t>يقصد بالمصادر المجهولة نقل المعلومات عن مصادر غير معرفة مجهولة الهوية تماما ومبهمة بدون إظهار علاقتها بالحدث</w:t>
      </w:r>
      <w:r w:rsidRPr="00094646">
        <w:rPr>
          <w:rFonts w:eastAsia="Times New Roman" w:cs="Calibri" w:hint="cs"/>
          <w:sz w:val="28"/>
          <w:szCs w:val="28"/>
          <w:rtl/>
          <w:lang w:bidi="ar-JO"/>
        </w:rPr>
        <w:t>.</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وبلغت نسبة المواد التي اعتمدت على مصادر مجهولة (34.1%) تمثل 15 مادة مكررة.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3 ــ تعددية المصادر:</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sz w:val="28"/>
          <w:szCs w:val="28"/>
          <w:rtl/>
          <w:lang w:bidi="ar-JO"/>
        </w:rPr>
        <w:t>يقصد بتعددية المصادر اعتماد المادة على مصدرين فأكثر لاستقاء المعلومات واستكمالها وتوضيحها</w:t>
      </w:r>
      <w:r w:rsidRPr="00094646">
        <w:rPr>
          <w:rFonts w:eastAsia="Times New Roman" w:cs="Calibri" w:hint="cs"/>
          <w:sz w:val="28"/>
          <w:szCs w:val="28"/>
          <w:rtl/>
          <w:lang w:bidi="ar-JO"/>
        </w:rPr>
        <w:t>.</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بلغ عدد المواد التي اعتمدت على تعددية المصادر (5) مواد فقط وبنسبة (11.4%) وردت في تقارير صحفية مكررة، مما يؤكد على عدم الاهتمام من قبل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عينة الرصد بمتابعة القضية.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4 ــ تعددية الآراء:</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sz w:val="28"/>
          <w:szCs w:val="28"/>
          <w:rtl/>
          <w:lang w:bidi="ar-JO"/>
        </w:rPr>
        <w:t>يقصد بتعددية الآراء عرض رأيين مختلفين فأكثر في المادة الواحدة</w:t>
      </w:r>
      <w:r w:rsidRPr="00094646">
        <w:rPr>
          <w:rFonts w:eastAsia="Times New Roman" w:cs="Calibri" w:hint="cs"/>
          <w:sz w:val="28"/>
          <w:szCs w:val="28"/>
          <w:rtl/>
          <w:lang w:bidi="ar-JO"/>
        </w:rPr>
        <w:t xml:space="preserve">، وتوافق عدد المواد التي اعتمدت على تعددية الآراء مع تعددية المصادر بواقع (5) مواد مكررة أيضا وبنسبة متطابقة </w:t>
      </w:r>
      <w:r w:rsidRPr="00094646">
        <w:rPr>
          <w:rFonts w:eastAsia="Times New Roman" w:cs="Calibri" w:hint="cs"/>
          <w:sz w:val="28"/>
          <w:szCs w:val="28"/>
          <w:rtl/>
          <w:lang w:bidi="ar-JO"/>
        </w:rPr>
        <w:lastRenderedPageBreak/>
        <w:t>بلغت (11.4%)،</w:t>
      </w:r>
      <w:r w:rsidRPr="00094646">
        <w:rPr>
          <w:rFonts w:eastAsia="Times New Roman" w:cs="Calibri"/>
          <w:sz w:val="28"/>
          <w:szCs w:val="28"/>
          <w:rtl/>
          <w:lang w:bidi="ar-JO"/>
        </w:rPr>
        <w:t xml:space="preserve"> بما يعزز من النتيجة التي توصل </w:t>
      </w:r>
      <w:r w:rsidRPr="00094646">
        <w:rPr>
          <w:rFonts w:eastAsia="Times New Roman" w:cs="Calibri" w:hint="cs"/>
          <w:sz w:val="28"/>
          <w:szCs w:val="28"/>
          <w:rtl/>
          <w:lang w:bidi="ar-JO"/>
        </w:rPr>
        <w:t>إليها فريق الرصد القاضية بعدم اهتمام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w:t>
      </w:r>
      <w:r w:rsidRPr="00094646">
        <w:rPr>
          <w:rFonts w:eastAsia="Times New Roman" w:cs="Calibri"/>
          <w:sz w:val="28"/>
          <w:szCs w:val="28"/>
          <w:rtl/>
          <w:lang w:bidi="ar-JO"/>
        </w:rPr>
        <w:t xml:space="preserve">ة الرصد بمتابعة القضية واللجوء </w:t>
      </w:r>
      <w:r w:rsidRPr="00094646">
        <w:rPr>
          <w:rFonts w:eastAsia="Times New Roman" w:cs="Calibri" w:hint="cs"/>
          <w:sz w:val="28"/>
          <w:szCs w:val="28"/>
          <w:rtl/>
          <w:lang w:bidi="ar-JO"/>
        </w:rPr>
        <w:t>إلى عرض أكثر من مصدر وأكثر من رأي في المادة الواحدة.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b/>
          <w:bCs/>
          <w:sz w:val="28"/>
          <w:szCs w:val="28"/>
          <w:rtl/>
          <w:lang w:bidi="ar-JO"/>
        </w:rPr>
        <w:t>5 ــ المعالجة الحقوقية والقانونية:</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sz w:val="28"/>
          <w:szCs w:val="28"/>
          <w:rtl/>
          <w:lang w:bidi="ar-JO"/>
        </w:rPr>
        <w:t>نقصد بالمعالجة الحقوقية والقانونية إما الاستعانة بخبير قانوني، أو استخدام المعاهدات والاتفاقيات الدولية، أو الاستشهاد بسند قانوني أو حقوقي.</w:t>
      </w:r>
    </w:p>
    <w:p w:rsid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 xml:space="preserve">وباستثناء جريدة الغد التي استندت في أحد تقاريرها إلى نشطاء بيئيين </w:t>
      </w:r>
      <w:r w:rsidRPr="00094646">
        <w:rPr>
          <w:rFonts w:eastAsia="Times New Roman" w:cs="Calibri"/>
          <w:sz w:val="28"/>
          <w:szCs w:val="28"/>
          <w:rtl/>
          <w:lang w:bidi="ar-JO"/>
        </w:rPr>
        <w:t>والجمعية الملكية لحماية الطبيعة،</w:t>
      </w:r>
      <w:r w:rsidRPr="00094646">
        <w:rPr>
          <w:rFonts w:eastAsia="Times New Roman" w:cs="Calibri" w:hint="cs"/>
          <w:sz w:val="28"/>
          <w:szCs w:val="28"/>
          <w:rtl/>
          <w:lang w:bidi="ar-JO"/>
        </w:rPr>
        <w:t xml:space="preserve"> والذين اعتبروا أن حادثة التجريف "</w:t>
      </w:r>
      <w:r w:rsidRPr="00094646">
        <w:rPr>
          <w:rFonts w:eastAsia="Times New Roman" w:cs="Calibri"/>
          <w:sz w:val="28"/>
          <w:szCs w:val="28"/>
          <w:rtl/>
          <w:lang w:bidi="ar-JO"/>
        </w:rPr>
        <w:t>تشكل خرقا للاتفاقيات الدولية لحماية التنوع الحيوي، والتغير المناخي، التي وقع الأردن عليها سابقا</w:t>
      </w:r>
      <w:r w:rsidRPr="00094646">
        <w:rPr>
          <w:rFonts w:eastAsia="Times New Roman" w:cs="Calibri" w:hint="cs"/>
          <w:sz w:val="28"/>
          <w:szCs w:val="28"/>
          <w:rtl/>
          <w:lang w:bidi="ar-JO"/>
        </w:rPr>
        <w:t xml:space="preserve">"؛ فإن </w:t>
      </w:r>
      <w:r w:rsidRPr="00094646">
        <w:rPr>
          <w:rFonts w:eastAsia="Times New Roman" w:cs="Calibri"/>
          <w:sz w:val="28"/>
          <w:szCs w:val="28"/>
          <w:rtl/>
          <w:lang w:bidi="ar-JO"/>
        </w:rPr>
        <w:t>المعالجة القانونية</w:t>
      </w:r>
      <w:r w:rsidRPr="00094646">
        <w:rPr>
          <w:rFonts w:eastAsia="Times New Roman" w:cs="Calibri" w:hint="cs"/>
          <w:sz w:val="28"/>
          <w:szCs w:val="28"/>
          <w:rtl/>
          <w:lang w:bidi="ar-JO"/>
        </w:rPr>
        <w:t xml:space="preserve"> أو الحقوقية المُعمقة</w:t>
      </w:r>
      <w:r w:rsidRPr="00094646">
        <w:rPr>
          <w:rFonts w:eastAsia="Times New Roman" w:cs="Calibri"/>
          <w:sz w:val="28"/>
          <w:szCs w:val="28"/>
          <w:rtl/>
          <w:lang w:bidi="ar-JO"/>
        </w:rPr>
        <w:t xml:space="preserve"> </w:t>
      </w:r>
      <w:r w:rsidRPr="00094646">
        <w:rPr>
          <w:rFonts w:eastAsia="Times New Roman" w:cs="Calibri" w:hint="cs"/>
          <w:sz w:val="28"/>
          <w:szCs w:val="28"/>
          <w:rtl/>
          <w:lang w:bidi="ar-JO"/>
        </w:rPr>
        <w:t>غابت</w:t>
      </w:r>
      <w:r w:rsidRPr="00094646">
        <w:rPr>
          <w:rFonts w:eastAsia="Times New Roman" w:cs="Calibri"/>
          <w:sz w:val="28"/>
          <w:szCs w:val="28"/>
          <w:rtl/>
          <w:lang w:bidi="ar-JO"/>
        </w:rPr>
        <w:t xml:space="preserve"> عن كامل تغطيات قضية تجريف محمية فيفا، ولم تقم أية وسيلة إعلامية</w:t>
      </w:r>
      <w:r w:rsidRPr="00094646">
        <w:rPr>
          <w:rFonts w:eastAsia="Times New Roman" w:cs="Calibri" w:hint="cs"/>
          <w:sz w:val="28"/>
          <w:szCs w:val="28"/>
          <w:rtl/>
          <w:lang w:bidi="ar-JO"/>
        </w:rPr>
        <w:t xml:space="preserve"> أخرى</w:t>
      </w:r>
      <w:r w:rsidRPr="00094646">
        <w:rPr>
          <w:rFonts w:eastAsia="Times New Roman" w:cs="Calibri"/>
          <w:sz w:val="28"/>
          <w:szCs w:val="28"/>
          <w:rtl/>
          <w:lang w:bidi="ar-JO"/>
        </w:rPr>
        <w:t xml:space="preserve"> بتسليط الضوء على قانونية التجريف، ولم تقم بسؤال قانونيين وحقوقيين أو حتى متخصصين في القانون البيئي أو خبراء في البيئة عن أثر التجريف الذي قضى على أربعين ألف شجرة وفقا للتقارير الرسمية التي أفادت بهذا الرقم</w:t>
      </w:r>
      <w:r w:rsidRPr="00094646">
        <w:rPr>
          <w:rFonts w:eastAsia="Times New Roman" w:cs="Calibri" w:hint="cs"/>
          <w:sz w:val="28"/>
          <w:szCs w:val="28"/>
          <w:rtl/>
          <w:lang w:bidi="ar-JO"/>
        </w:rPr>
        <w:t>.</w:t>
      </w:r>
    </w:p>
    <w:p w:rsidR="00094646" w:rsidRPr="00094646" w:rsidRDefault="00094646" w:rsidP="00094646">
      <w:pPr>
        <w:bidi/>
        <w:spacing w:after="200" w:line="276" w:lineRule="auto"/>
        <w:jc w:val="both"/>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2349"/>
        <w:gridCol w:w="832"/>
        <w:gridCol w:w="1106"/>
        <w:gridCol w:w="1116"/>
        <w:gridCol w:w="1112"/>
        <w:gridCol w:w="835"/>
        <w:gridCol w:w="946"/>
      </w:tblGrid>
      <w:tr w:rsidR="00094646" w:rsidRPr="00094646" w:rsidTr="003E45E2">
        <w:trPr>
          <w:jc w:val="center"/>
        </w:trPr>
        <w:tc>
          <w:tcPr>
            <w:tcW w:w="8522" w:type="dxa"/>
            <w:gridSpan w:val="7"/>
            <w:shd w:val="clear" w:color="auto" w:fill="DBE5F1"/>
          </w:tcPr>
          <w:p w:rsidR="00094646" w:rsidRPr="00094646" w:rsidRDefault="00094646" w:rsidP="00094646">
            <w:pPr>
              <w:bidi/>
              <w:spacing w:after="200" w:line="276" w:lineRule="auto"/>
              <w:jc w:val="center"/>
              <w:rPr>
                <w:rFonts w:eastAsia="Times New Roman" w:cs="Calibri"/>
                <w:b/>
                <w:bCs/>
                <w:sz w:val="28"/>
                <w:szCs w:val="28"/>
                <w:rtl/>
              </w:rPr>
            </w:pPr>
            <w:r w:rsidRPr="00094646">
              <w:rPr>
                <w:rFonts w:eastAsia="Times New Roman" w:cs="Calibri" w:hint="cs"/>
                <w:b/>
                <w:bCs/>
                <w:sz w:val="28"/>
                <w:szCs w:val="28"/>
                <w:rtl/>
              </w:rPr>
              <w:t>جدول رقم (1) تصنيف المواد حسب المعايير المهنية والقانونية</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المؤسسة</w:t>
            </w:r>
          </w:p>
        </w:tc>
        <w:tc>
          <w:tcPr>
            <w:tcW w:w="851"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عدد</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مصدر معرف</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مصدر مجهول</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تعدد المصار</w:t>
            </w:r>
          </w:p>
        </w:tc>
        <w:tc>
          <w:tcPr>
            <w:tcW w:w="850"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b/>
                <w:bCs/>
                <w:sz w:val="28"/>
                <w:szCs w:val="28"/>
                <w:rtl/>
                <w:lang w:bidi="ar-JO"/>
              </w:rPr>
              <w:t xml:space="preserve">تعدد </w:t>
            </w:r>
            <w:r w:rsidRPr="00094646">
              <w:rPr>
                <w:rFonts w:eastAsia="Times New Roman" w:cs="Calibri" w:hint="cs"/>
                <w:b/>
                <w:bCs/>
                <w:sz w:val="28"/>
                <w:szCs w:val="28"/>
                <w:rtl/>
                <w:lang w:bidi="ar-JO"/>
              </w:rPr>
              <w:t>آراء</w:t>
            </w:r>
          </w:p>
        </w:tc>
        <w:tc>
          <w:tcPr>
            <w:tcW w:w="959"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rtl/>
                <w:lang w:bidi="ar-JO"/>
              </w:rPr>
              <w:t>معالجة قانونية أو حقوقية</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الغد</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6</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6</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الر</w:t>
            </w:r>
            <w:r w:rsidRPr="00094646">
              <w:rPr>
                <w:rFonts w:eastAsia="Times New Roman" w:cs="Calibri" w:hint="cs"/>
                <w:sz w:val="28"/>
                <w:szCs w:val="28"/>
                <w:rtl/>
                <w:lang w:bidi="ar-JO"/>
              </w:rPr>
              <w:t>أي</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الدستور</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ال</w:t>
            </w:r>
            <w:r w:rsidRPr="00094646">
              <w:rPr>
                <w:rFonts w:eastAsia="Times New Roman" w:cs="Calibri" w:hint="cs"/>
                <w:sz w:val="28"/>
                <w:szCs w:val="28"/>
                <w:rtl/>
                <w:lang w:bidi="ar-JO"/>
              </w:rPr>
              <w:t>أنباط</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عمون</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جو24</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جفرا</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lastRenderedPageBreak/>
              <w:t>رؤيا</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9</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6</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سرايا</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سواليف</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مدار الساعة</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البوصلة</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السبيل</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رم</w:t>
            </w:r>
          </w:p>
        </w:tc>
        <w:tc>
          <w:tcPr>
            <w:tcW w:w="85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850"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460"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المجموع</w:t>
            </w:r>
          </w:p>
        </w:tc>
        <w:tc>
          <w:tcPr>
            <w:tcW w:w="851"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44</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29</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15</w:t>
            </w:r>
          </w:p>
        </w:tc>
        <w:tc>
          <w:tcPr>
            <w:tcW w:w="1134"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5</w:t>
            </w:r>
          </w:p>
        </w:tc>
        <w:tc>
          <w:tcPr>
            <w:tcW w:w="850"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5</w:t>
            </w:r>
          </w:p>
        </w:tc>
        <w:tc>
          <w:tcPr>
            <w:tcW w:w="959" w:type="dxa"/>
            <w:shd w:val="clear" w:color="auto" w:fill="DBE5F1"/>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0</w:t>
            </w:r>
          </w:p>
        </w:tc>
      </w:tr>
    </w:tbl>
    <w:p w:rsidR="00094646" w:rsidRPr="00094646" w:rsidRDefault="00094646" w:rsidP="00094646">
      <w:pPr>
        <w:bidi/>
        <w:spacing w:after="200" w:line="276" w:lineRule="auto"/>
        <w:jc w:val="both"/>
        <w:rPr>
          <w:rFonts w:eastAsia="Times New Roman" w:cs="Calibri"/>
          <w:sz w:val="28"/>
          <w:szCs w:val="28"/>
          <w:rtl/>
          <w:lang w:bidi="ar-JO"/>
        </w:rPr>
      </w:pP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ثانيا: توزيع المواد على الفنون الصحفية: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1 ــ الخبر:</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اعتمدت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عينة الرصد على التغطية الخبرية المكررة، إذ بلغ عدد الأخبار التي ارتكز معظمها على بيانات جاهزة صدرت عن جهات محددة "شركة البوتاس، والجمعية الملكية لح</w:t>
      </w:r>
      <w:r w:rsidRPr="00094646">
        <w:rPr>
          <w:rFonts w:eastAsia="Times New Roman" w:cs="Calibri"/>
          <w:sz w:val="28"/>
          <w:szCs w:val="28"/>
          <w:rtl/>
          <w:lang w:bidi="ar-JO"/>
        </w:rPr>
        <w:t>ماية الطبيعة، ومصدر حكومي مجهول</w:t>
      </w:r>
      <w:r w:rsidRPr="00094646">
        <w:rPr>
          <w:rFonts w:eastAsia="Times New Roman" w:cs="Calibri" w:hint="cs"/>
          <w:sz w:val="28"/>
          <w:szCs w:val="28"/>
          <w:rtl/>
          <w:lang w:bidi="ar-JO"/>
        </w:rPr>
        <w:t>" (</w:t>
      </w:r>
      <w:r w:rsidRPr="00094646">
        <w:rPr>
          <w:rFonts w:eastAsia="Times New Roman" w:cs="Calibri"/>
          <w:sz w:val="28"/>
          <w:szCs w:val="28"/>
          <w:rtl/>
          <w:lang w:bidi="ar-JO"/>
        </w:rPr>
        <w:t>32</w:t>
      </w:r>
      <w:r w:rsidRPr="00094646">
        <w:rPr>
          <w:rFonts w:eastAsia="Times New Roman" w:cs="Calibri" w:hint="cs"/>
          <w:sz w:val="28"/>
          <w:szCs w:val="28"/>
          <w:rtl/>
          <w:lang w:bidi="ar-JO"/>
        </w:rPr>
        <w:t xml:space="preserve">) خبرا تمثل ما نسبته (72.7 %) من إجمالي التغطيات التي تم رصدها. </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2 ــ المقال:</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في ظاهرة غير مسبوقة منذ انطلاق مشروع رصد</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شهر حزيران يونيو 2019 فقد غابت تماما المقالات الصحفية التي تعالج هذه الق</w:t>
      </w:r>
      <w:r w:rsidRPr="00094646">
        <w:rPr>
          <w:rFonts w:eastAsia="Times New Roman" w:cs="Calibri"/>
          <w:sz w:val="28"/>
          <w:szCs w:val="28"/>
          <w:rtl/>
          <w:lang w:bidi="ar-JO"/>
        </w:rPr>
        <w:t xml:space="preserve">ضية، سواء لجهة الكتاب الصحفيين </w:t>
      </w:r>
      <w:r w:rsidRPr="00094646">
        <w:rPr>
          <w:rFonts w:eastAsia="Times New Roman" w:cs="Calibri" w:hint="cs"/>
          <w:sz w:val="28"/>
          <w:szCs w:val="28"/>
          <w:rtl/>
          <w:lang w:bidi="ar-JO"/>
        </w:rPr>
        <w:t>أ</w:t>
      </w:r>
      <w:r w:rsidRPr="00094646">
        <w:rPr>
          <w:rFonts w:eastAsia="Times New Roman" w:cs="Calibri"/>
          <w:sz w:val="28"/>
          <w:szCs w:val="28"/>
          <w:rtl/>
          <w:lang w:bidi="ar-JO"/>
        </w:rPr>
        <w:t>و حتى لجهة الخبراء البيئي</w:t>
      </w:r>
      <w:r w:rsidRPr="00094646">
        <w:rPr>
          <w:rFonts w:eastAsia="Times New Roman" w:cs="Calibri" w:hint="cs"/>
          <w:sz w:val="28"/>
          <w:szCs w:val="28"/>
          <w:rtl/>
          <w:lang w:bidi="ar-JO"/>
        </w:rPr>
        <w:t>ين، ولم يسجل نشر أية مقالة في كامل عملية الرصد والتوثيق.</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4 ــ التصريح الصحفي:</w:t>
      </w:r>
    </w:p>
    <w:p w:rsidR="00094646" w:rsidRP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t>بلغ عدد التصريحات الصحفية الخاصة 3 تصريحات فقط تمثل نسبة (6.8%) فقط، مما يعكس حجم الاهتمام الضعيف جدا في متابعة تلك القضية والتراخي الواضح في تغطيتها الإعلامية.</w:t>
      </w:r>
    </w:p>
    <w:p w:rsidR="00094646" w:rsidRPr="00094646" w:rsidRDefault="00094646" w:rsidP="00094646">
      <w:pPr>
        <w:bidi/>
        <w:spacing w:after="200" w:line="276" w:lineRule="auto"/>
        <w:jc w:val="both"/>
        <w:rPr>
          <w:rFonts w:eastAsia="Times New Roman" w:cs="Calibri"/>
          <w:b/>
          <w:bCs/>
          <w:sz w:val="28"/>
          <w:szCs w:val="28"/>
          <w:rtl/>
          <w:lang w:bidi="ar-JO"/>
        </w:rPr>
      </w:pPr>
      <w:r w:rsidRPr="00094646">
        <w:rPr>
          <w:rFonts w:eastAsia="Times New Roman" w:cs="Calibri" w:hint="cs"/>
          <w:b/>
          <w:bCs/>
          <w:sz w:val="28"/>
          <w:szCs w:val="28"/>
          <w:rtl/>
          <w:lang w:bidi="ar-JO"/>
        </w:rPr>
        <w:t>5 ــ التقرير:</w:t>
      </w:r>
    </w:p>
    <w:p w:rsidR="00094646" w:rsidRDefault="00094646" w:rsidP="00094646">
      <w:pPr>
        <w:bidi/>
        <w:spacing w:after="200" w:line="276" w:lineRule="auto"/>
        <w:jc w:val="both"/>
        <w:rPr>
          <w:rFonts w:eastAsia="Times New Roman" w:cs="Calibri"/>
          <w:sz w:val="28"/>
          <w:szCs w:val="28"/>
          <w:rtl/>
          <w:lang w:bidi="ar-JO"/>
        </w:rPr>
      </w:pPr>
      <w:r w:rsidRPr="00094646">
        <w:rPr>
          <w:rFonts w:eastAsia="Times New Roman" w:cs="Calibri" w:hint="cs"/>
          <w:sz w:val="28"/>
          <w:szCs w:val="28"/>
          <w:rtl/>
          <w:lang w:bidi="ar-JO"/>
        </w:rPr>
        <w:lastRenderedPageBreak/>
        <w:t>انسحب التراخي في تغطية تجريف محمية فيفا على التقارير الصحفية التي نشرتها وسائل</w:t>
      </w:r>
      <w:r w:rsidRPr="00094646">
        <w:rPr>
          <w:rFonts w:eastAsia="Times New Roman" w:cs="Calibri"/>
          <w:sz w:val="28"/>
          <w:szCs w:val="28"/>
          <w:rtl/>
          <w:lang w:bidi="ar-JO"/>
        </w:rPr>
        <w:t xml:space="preserve"> الإعلام </w:t>
      </w:r>
      <w:r w:rsidRPr="00094646">
        <w:rPr>
          <w:rFonts w:eastAsia="Times New Roman" w:cs="Calibri" w:hint="cs"/>
          <w:sz w:val="28"/>
          <w:szCs w:val="28"/>
          <w:rtl/>
          <w:lang w:bidi="ar-JO"/>
        </w:rPr>
        <w:t>في عينة الرصد فمن بين إجمالي التغطيات التي رصدها فريق التوث</w:t>
      </w:r>
      <w:r w:rsidRPr="00094646">
        <w:rPr>
          <w:rFonts w:eastAsia="Times New Roman" w:cs="Calibri"/>
          <w:sz w:val="28"/>
          <w:szCs w:val="28"/>
          <w:rtl/>
          <w:lang w:bidi="ar-JO"/>
        </w:rPr>
        <w:t>يق البالغ عددها 44 مادة مكررة ف</w:t>
      </w:r>
      <w:r w:rsidRPr="00094646">
        <w:rPr>
          <w:rFonts w:eastAsia="Times New Roman" w:cs="Calibri" w:hint="cs"/>
          <w:sz w:val="28"/>
          <w:szCs w:val="28"/>
          <w:rtl/>
          <w:lang w:bidi="ar-JO"/>
        </w:rPr>
        <w:t>إن حصة التقارير الصحفية منها بلغت (9) تقارير مكررة بنسبة (20.5%).</w:t>
      </w:r>
    </w:p>
    <w:p w:rsidR="00094646" w:rsidRPr="00094646" w:rsidRDefault="00094646" w:rsidP="00094646">
      <w:pPr>
        <w:bidi/>
        <w:spacing w:after="200" w:line="276" w:lineRule="auto"/>
        <w:jc w:val="both"/>
        <w:rPr>
          <w:rFonts w:eastAsia="Times New Roman" w:cs="Calibri"/>
          <w:sz w:val="28"/>
          <w:szCs w:val="28"/>
          <w:rtl/>
          <w:lang w:bidi="ar-JO"/>
        </w:rPr>
      </w:pPr>
    </w:p>
    <w:tbl>
      <w:tblPr>
        <w:bidiVisual/>
        <w:tblW w:w="7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2035"/>
        <w:gridCol w:w="1134"/>
        <w:gridCol w:w="992"/>
        <w:gridCol w:w="992"/>
        <w:gridCol w:w="1134"/>
        <w:gridCol w:w="1277"/>
      </w:tblGrid>
      <w:tr w:rsidR="00094646" w:rsidRPr="00094646" w:rsidTr="003E45E2">
        <w:trPr>
          <w:jc w:val="center"/>
        </w:trPr>
        <w:tc>
          <w:tcPr>
            <w:tcW w:w="7564" w:type="dxa"/>
            <w:gridSpan w:val="6"/>
            <w:shd w:val="clear" w:color="auto" w:fill="B8CCE4"/>
          </w:tcPr>
          <w:p w:rsidR="00094646" w:rsidRPr="00094646" w:rsidRDefault="00094646" w:rsidP="00094646">
            <w:pPr>
              <w:bidi/>
              <w:spacing w:after="200" w:line="276" w:lineRule="auto"/>
              <w:jc w:val="center"/>
              <w:rPr>
                <w:rFonts w:eastAsia="Times New Roman" w:cs="Calibri"/>
                <w:b/>
                <w:bCs/>
                <w:sz w:val="28"/>
                <w:szCs w:val="28"/>
                <w:rtl/>
              </w:rPr>
            </w:pPr>
            <w:r w:rsidRPr="00094646">
              <w:rPr>
                <w:rFonts w:eastAsia="Times New Roman" w:cs="Calibri" w:hint="cs"/>
                <w:b/>
                <w:bCs/>
                <w:sz w:val="28"/>
                <w:szCs w:val="28"/>
                <w:rtl/>
              </w:rPr>
              <w:t>جدول رقم (2) يوضح توزيع مصادر وفنون العمل الصحفي التي اعتمدتها الصحافة في التغطية</w:t>
            </w:r>
          </w:p>
        </w:tc>
      </w:tr>
      <w:tr w:rsidR="00094646" w:rsidRPr="00094646" w:rsidTr="003E45E2">
        <w:trPr>
          <w:jc w:val="center"/>
        </w:trPr>
        <w:tc>
          <w:tcPr>
            <w:tcW w:w="2035"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مؤسسة</w:t>
            </w:r>
          </w:p>
        </w:tc>
        <w:tc>
          <w:tcPr>
            <w:tcW w:w="1134"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عدد</w:t>
            </w:r>
          </w:p>
        </w:tc>
        <w:tc>
          <w:tcPr>
            <w:tcW w:w="992"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مقال</w:t>
            </w:r>
          </w:p>
        </w:tc>
        <w:tc>
          <w:tcPr>
            <w:tcW w:w="992"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خبر</w:t>
            </w:r>
          </w:p>
        </w:tc>
        <w:tc>
          <w:tcPr>
            <w:tcW w:w="1134"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تقرير</w:t>
            </w:r>
          </w:p>
        </w:tc>
        <w:tc>
          <w:tcPr>
            <w:tcW w:w="1277"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تصريح</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الغد</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6</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الر</w:t>
            </w:r>
            <w:r w:rsidRPr="00094646">
              <w:rPr>
                <w:rFonts w:eastAsia="Times New Roman" w:cs="Calibri" w:hint="cs"/>
                <w:sz w:val="28"/>
                <w:szCs w:val="28"/>
                <w:rtl/>
                <w:lang w:bidi="ar-JO"/>
              </w:rPr>
              <w:t>أي</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الدستور</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ال</w:t>
            </w:r>
            <w:r w:rsidRPr="00094646">
              <w:rPr>
                <w:rFonts w:eastAsia="Times New Roman" w:cs="Calibri" w:hint="cs"/>
                <w:sz w:val="28"/>
                <w:szCs w:val="28"/>
                <w:rtl/>
                <w:lang w:bidi="ar-JO"/>
              </w:rPr>
              <w:t>أنباط</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عمون</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جو24</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جفرا</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رؤيا</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9</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4</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4</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سرايا</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سواليف</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مدار الساعة</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البوصلة</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السبيل</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رم</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992"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134"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277"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r>
      <w:tr w:rsidR="00094646" w:rsidRPr="00094646" w:rsidTr="003E45E2">
        <w:trPr>
          <w:jc w:val="center"/>
        </w:trPr>
        <w:tc>
          <w:tcPr>
            <w:tcW w:w="2035"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lastRenderedPageBreak/>
              <w:t>المجموع</w:t>
            </w:r>
          </w:p>
        </w:tc>
        <w:tc>
          <w:tcPr>
            <w:tcW w:w="1134"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44</w:t>
            </w:r>
          </w:p>
        </w:tc>
        <w:tc>
          <w:tcPr>
            <w:tcW w:w="992"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0</w:t>
            </w:r>
          </w:p>
        </w:tc>
        <w:tc>
          <w:tcPr>
            <w:tcW w:w="992"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32</w:t>
            </w:r>
          </w:p>
        </w:tc>
        <w:tc>
          <w:tcPr>
            <w:tcW w:w="1134"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9</w:t>
            </w:r>
          </w:p>
        </w:tc>
        <w:tc>
          <w:tcPr>
            <w:tcW w:w="1277"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3</w:t>
            </w:r>
          </w:p>
        </w:tc>
      </w:tr>
    </w:tbl>
    <w:p w:rsidR="00094646" w:rsidRPr="00094646" w:rsidRDefault="00094646" w:rsidP="00094646">
      <w:pPr>
        <w:bidi/>
        <w:spacing w:after="200" w:line="276" w:lineRule="auto"/>
        <w:jc w:val="both"/>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4A0" w:firstRow="1" w:lastRow="0" w:firstColumn="1" w:lastColumn="0" w:noHBand="0" w:noVBand="1"/>
      </w:tblPr>
      <w:tblGrid>
        <w:gridCol w:w="901"/>
        <w:gridCol w:w="1559"/>
        <w:gridCol w:w="1559"/>
        <w:gridCol w:w="1701"/>
      </w:tblGrid>
      <w:tr w:rsidR="00094646" w:rsidRPr="00094646" w:rsidTr="003E45E2">
        <w:trPr>
          <w:jc w:val="center"/>
        </w:trPr>
        <w:tc>
          <w:tcPr>
            <w:tcW w:w="5720" w:type="dxa"/>
            <w:gridSpan w:val="4"/>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b/>
                <w:bCs/>
                <w:sz w:val="28"/>
                <w:szCs w:val="28"/>
                <w:rtl/>
                <w:lang w:bidi="ar-JO"/>
              </w:rPr>
              <w:t>جدول رقم (</w:t>
            </w:r>
            <w:r w:rsidRPr="00094646">
              <w:rPr>
                <w:rFonts w:eastAsia="Times New Roman" w:cs="Calibri" w:hint="cs"/>
                <w:b/>
                <w:bCs/>
                <w:sz w:val="28"/>
                <w:szCs w:val="28"/>
                <w:rtl/>
                <w:lang w:bidi="ar-JO"/>
              </w:rPr>
              <w:t>3</w:t>
            </w:r>
            <w:r w:rsidRPr="00094646">
              <w:rPr>
                <w:rFonts w:eastAsia="Times New Roman" w:cs="Calibri"/>
                <w:b/>
                <w:bCs/>
                <w:sz w:val="28"/>
                <w:szCs w:val="28"/>
                <w:rtl/>
                <w:lang w:bidi="ar-JO"/>
              </w:rPr>
              <w:t>) توزيع المواد على فنون العمل الصحفي ونسبتها</w:t>
            </w:r>
          </w:p>
        </w:tc>
      </w:tr>
      <w:tr w:rsidR="00094646" w:rsidRPr="00094646" w:rsidTr="003E45E2">
        <w:trPr>
          <w:jc w:val="center"/>
        </w:trPr>
        <w:tc>
          <w:tcPr>
            <w:tcW w:w="9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1</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مقال</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w:t>
            </w:r>
          </w:p>
        </w:tc>
        <w:tc>
          <w:tcPr>
            <w:tcW w:w="17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0.0 %</w:t>
            </w:r>
          </w:p>
        </w:tc>
      </w:tr>
      <w:tr w:rsidR="00094646" w:rsidRPr="00094646" w:rsidTr="003E45E2">
        <w:trPr>
          <w:jc w:val="center"/>
        </w:trPr>
        <w:tc>
          <w:tcPr>
            <w:tcW w:w="9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خبر</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32</w:t>
            </w:r>
          </w:p>
        </w:tc>
        <w:tc>
          <w:tcPr>
            <w:tcW w:w="17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72.7 %</w:t>
            </w:r>
          </w:p>
        </w:tc>
      </w:tr>
      <w:tr w:rsidR="00094646" w:rsidRPr="00094646" w:rsidTr="003E45E2">
        <w:trPr>
          <w:jc w:val="center"/>
        </w:trPr>
        <w:tc>
          <w:tcPr>
            <w:tcW w:w="9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تقرير</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9</w:t>
            </w:r>
          </w:p>
        </w:tc>
        <w:tc>
          <w:tcPr>
            <w:tcW w:w="17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20.5 %</w:t>
            </w:r>
          </w:p>
        </w:tc>
      </w:tr>
      <w:tr w:rsidR="00094646" w:rsidRPr="00094646" w:rsidTr="003E45E2">
        <w:trPr>
          <w:jc w:val="center"/>
        </w:trPr>
        <w:tc>
          <w:tcPr>
            <w:tcW w:w="9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4</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sz w:val="28"/>
                <w:szCs w:val="28"/>
                <w:rtl/>
                <w:lang w:bidi="ar-JO"/>
              </w:rPr>
              <w:t>تصريح</w:t>
            </w:r>
          </w:p>
        </w:tc>
        <w:tc>
          <w:tcPr>
            <w:tcW w:w="1559"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3</w:t>
            </w:r>
          </w:p>
        </w:tc>
        <w:tc>
          <w:tcPr>
            <w:tcW w:w="1701" w:type="dxa"/>
            <w:shd w:val="clear" w:color="auto" w:fill="DBE5F1"/>
          </w:tcPr>
          <w:p w:rsidR="00094646" w:rsidRPr="00094646" w:rsidRDefault="00094646" w:rsidP="00094646">
            <w:pPr>
              <w:bidi/>
              <w:spacing w:after="200" w:line="276" w:lineRule="auto"/>
              <w:jc w:val="center"/>
              <w:rPr>
                <w:rFonts w:eastAsia="Times New Roman" w:cs="Calibri"/>
                <w:sz w:val="28"/>
                <w:szCs w:val="28"/>
                <w:rtl/>
                <w:lang w:bidi="ar-JO"/>
              </w:rPr>
            </w:pPr>
            <w:r w:rsidRPr="00094646">
              <w:rPr>
                <w:rFonts w:eastAsia="Times New Roman" w:cs="Calibri" w:hint="cs"/>
                <w:sz w:val="28"/>
                <w:szCs w:val="28"/>
                <w:rtl/>
                <w:lang w:bidi="ar-JO"/>
              </w:rPr>
              <w:t>6.8 %</w:t>
            </w:r>
          </w:p>
        </w:tc>
      </w:tr>
      <w:tr w:rsidR="00094646" w:rsidRPr="00094646" w:rsidTr="003E45E2">
        <w:trPr>
          <w:jc w:val="center"/>
        </w:trPr>
        <w:tc>
          <w:tcPr>
            <w:tcW w:w="2460" w:type="dxa"/>
            <w:gridSpan w:val="2"/>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b/>
                <w:bCs/>
                <w:sz w:val="28"/>
                <w:szCs w:val="28"/>
                <w:rtl/>
                <w:lang w:bidi="ar-JO"/>
              </w:rPr>
              <w:t>المجموع</w:t>
            </w:r>
          </w:p>
        </w:tc>
        <w:tc>
          <w:tcPr>
            <w:tcW w:w="1559" w:type="dxa"/>
            <w:shd w:val="clear" w:color="auto" w:fill="B8CCE4"/>
          </w:tcPr>
          <w:p w:rsidR="00094646" w:rsidRPr="00094646" w:rsidRDefault="00094646" w:rsidP="00094646">
            <w:pPr>
              <w:bidi/>
              <w:spacing w:after="200" w:line="276" w:lineRule="auto"/>
              <w:ind w:firstLine="720"/>
              <w:rPr>
                <w:rFonts w:eastAsia="Times New Roman" w:cs="Calibri"/>
                <w:b/>
                <w:bCs/>
                <w:sz w:val="28"/>
                <w:szCs w:val="28"/>
                <w:rtl/>
                <w:lang w:bidi="ar-JO"/>
              </w:rPr>
            </w:pPr>
            <w:r w:rsidRPr="00094646">
              <w:rPr>
                <w:rFonts w:eastAsia="Times New Roman" w:cs="Calibri" w:hint="cs"/>
                <w:b/>
                <w:bCs/>
                <w:sz w:val="28"/>
                <w:szCs w:val="28"/>
                <w:rtl/>
                <w:lang w:bidi="ar-JO"/>
              </w:rPr>
              <w:t>44</w:t>
            </w:r>
          </w:p>
        </w:tc>
        <w:tc>
          <w:tcPr>
            <w:tcW w:w="1701" w:type="dxa"/>
            <w:shd w:val="clear" w:color="auto" w:fill="B8CCE4"/>
          </w:tcPr>
          <w:p w:rsidR="00094646" w:rsidRPr="00094646" w:rsidRDefault="00094646" w:rsidP="00094646">
            <w:pPr>
              <w:bidi/>
              <w:spacing w:after="200" w:line="276" w:lineRule="auto"/>
              <w:jc w:val="center"/>
              <w:rPr>
                <w:rFonts w:eastAsia="Times New Roman" w:cs="Calibri"/>
                <w:b/>
                <w:bCs/>
                <w:sz w:val="28"/>
                <w:szCs w:val="28"/>
                <w:rtl/>
                <w:lang w:bidi="ar-JO"/>
              </w:rPr>
            </w:pPr>
            <w:r w:rsidRPr="00094646">
              <w:rPr>
                <w:rFonts w:eastAsia="Times New Roman" w:cs="Calibri" w:hint="cs"/>
                <w:b/>
                <w:bCs/>
                <w:sz w:val="28"/>
                <w:szCs w:val="28"/>
                <w:rtl/>
                <w:lang w:bidi="ar-JO"/>
              </w:rPr>
              <w:t>100 %</w:t>
            </w:r>
          </w:p>
        </w:tc>
      </w:tr>
    </w:tbl>
    <w:p w:rsidR="00094646" w:rsidRPr="00094646" w:rsidRDefault="00094646" w:rsidP="00094646">
      <w:pPr>
        <w:bidi/>
        <w:spacing w:after="200" w:line="276" w:lineRule="auto"/>
        <w:jc w:val="both"/>
        <w:rPr>
          <w:rFonts w:eastAsia="Times New Roman" w:cs="Calibri"/>
          <w:sz w:val="28"/>
          <w:szCs w:val="28"/>
          <w:lang w:bidi="ar-JO"/>
        </w:rPr>
      </w:pP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hint="eastAsia"/>
          <w:b/>
          <w:bCs/>
          <w:sz w:val="28"/>
          <w:szCs w:val="28"/>
          <w:rtl/>
        </w:rPr>
        <w:t>ثالثا</w:t>
      </w:r>
      <w:r w:rsidRPr="00094646">
        <w:rPr>
          <w:rFonts w:eastAsia="Times New Roman" w:cs="Calibri"/>
          <w:b/>
          <w:bCs/>
          <w:sz w:val="28"/>
          <w:szCs w:val="28"/>
          <w:rtl/>
        </w:rPr>
        <w:t xml:space="preserve">: </w:t>
      </w:r>
      <w:r w:rsidRPr="00094646">
        <w:rPr>
          <w:rFonts w:eastAsia="Times New Roman" w:cs="Calibri" w:hint="eastAsia"/>
          <w:b/>
          <w:bCs/>
          <w:sz w:val="28"/>
          <w:szCs w:val="28"/>
          <w:rtl/>
        </w:rPr>
        <w:t>اختبار</w:t>
      </w:r>
      <w:r w:rsidRPr="00094646">
        <w:rPr>
          <w:rFonts w:eastAsia="Times New Roman" w:cs="Calibri"/>
          <w:b/>
          <w:bCs/>
          <w:sz w:val="28"/>
          <w:szCs w:val="28"/>
          <w:rtl/>
        </w:rPr>
        <w:t xml:space="preserve"> </w:t>
      </w:r>
      <w:r w:rsidRPr="00094646">
        <w:rPr>
          <w:rFonts w:eastAsia="Times New Roman" w:cs="Calibri" w:hint="eastAsia"/>
          <w:b/>
          <w:bCs/>
          <w:sz w:val="28"/>
          <w:szCs w:val="28"/>
          <w:rtl/>
        </w:rPr>
        <w:t>المصداقية</w:t>
      </w:r>
      <w:r w:rsidRPr="00094646">
        <w:rPr>
          <w:rFonts w:eastAsia="Times New Roman" w:cs="Calibri"/>
          <w:b/>
          <w:bCs/>
          <w:sz w:val="28"/>
          <w:szCs w:val="28"/>
          <w:rtl/>
        </w:rPr>
        <w:t>:</w:t>
      </w: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b/>
          <w:bCs/>
          <w:sz w:val="28"/>
          <w:szCs w:val="28"/>
          <w:rtl/>
        </w:rPr>
        <w:t xml:space="preserve">1 </w:t>
      </w:r>
      <w:r w:rsidRPr="00094646">
        <w:rPr>
          <w:rFonts w:eastAsia="Times New Roman" w:cs="Calibri" w:hint="eastAsia"/>
          <w:b/>
          <w:bCs/>
          <w:sz w:val="28"/>
          <w:szCs w:val="28"/>
          <w:rtl/>
        </w:rPr>
        <w:t>ــ</w:t>
      </w:r>
      <w:r w:rsidRPr="00094646">
        <w:rPr>
          <w:rFonts w:eastAsia="Times New Roman" w:cs="Calibri"/>
          <w:b/>
          <w:bCs/>
          <w:sz w:val="28"/>
          <w:szCs w:val="28"/>
          <w:rtl/>
        </w:rPr>
        <w:t xml:space="preserve"> </w:t>
      </w:r>
      <w:r w:rsidRPr="00094646">
        <w:rPr>
          <w:rFonts w:eastAsia="Times New Roman" w:cs="Calibri" w:hint="eastAsia"/>
          <w:b/>
          <w:bCs/>
          <w:sz w:val="28"/>
          <w:szCs w:val="28"/>
          <w:rtl/>
        </w:rPr>
        <w:t>مصداقية</w:t>
      </w:r>
      <w:r w:rsidRPr="00094646">
        <w:rPr>
          <w:rFonts w:eastAsia="Times New Roman" w:cs="Calibri"/>
          <w:b/>
          <w:bCs/>
          <w:sz w:val="28"/>
          <w:szCs w:val="28"/>
          <w:rtl/>
        </w:rPr>
        <w:t xml:space="preserve"> </w:t>
      </w:r>
      <w:r w:rsidRPr="00094646">
        <w:rPr>
          <w:rFonts w:eastAsia="Times New Roman" w:cs="Calibri" w:hint="eastAsia"/>
          <w:b/>
          <w:bCs/>
          <w:sz w:val="28"/>
          <w:szCs w:val="28"/>
          <w:rtl/>
        </w:rPr>
        <w:t>المصادر</w:t>
      </w:r>
      <w:r w:rsidRPr="00094646">
        <w:rPr>
          <w:rFonts w:eastAsia="Times New Roman" w:cs="Calibri"/>
          <w:b/>
          <w:bCs/>
          <w:sz w:val="28"/>
          <w:szCs w:val="28"/>
          <w:rtl/>
        </w:rPr>
        <w:t xml:space="preserve">: </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لم تختبر وسائل</w:t>
      </w:r>
      <w:r w:rsidRPr="00094646">
        <w:rPr>
          <w:rFonts w:eastAsia="Times New Roman" w:cs="Calibri"/>
          <w:sz w:val="28"/>
          <w:szCs w:val="28"/>
          <w:rtl/>
        </w:rPr>
        <w:t xml:space="preserve"> الإعلام </w:t>
      </w:r>
      <w:r w:rsidRPr="00094646">
        <w:rPr>
          <w:rFonts w:eastAsia="Times New Roman" w:cs="Calibri" w:hint="cs"/>
          <w:sz w:val="28"/>
          <w:szCs w:val="28"/>
          <w:rtl/>
        </w:rPr>
        <w:t xml:space="preserve">في عينة الرصد مصداقية المصادر التي نقلت عنها والبالغ عددها 15 مادة ـ كما أشرنا سابقا ــ من بينها (12) مادة </w:t>
      </w:r>
      <w:r w:rsidRPr="00094646">
        <w:rPr>
          <w:rFonts w:eastAsia="Times New Roman" w:cs="Calibri"/>
          <w:sz w:val="28"/>
          <w:szCs w:val="28"/>
          <w:rtl/>
        </w:rPr>
        <w:t xml:space="preserve">مكررة نسبتها عينة الرصد </w:t>
      </w:r>
      <w:r w:rsidRPr="00094646">
        <w:rPr>
          <w:rFonts w:eastAsia="Times New Roman" w:cs="Calibri" w:hint="cs"/>
          <w:sz w:val="28"/>
          <w:szCs w:val="28"/>
          <w:rtl/>
        </w:rPr>
        <w:t>إ</w:t>
      </w:r>
      <w:r w:rsidRPr="00094646">
        <w:rPr>
          <w:rFonts w:eastAsia="Times New Roman" w:cs="Calibri"/>
          <w:sz w:val="28"/>
          <w:szCs w:val="28"/>
          <w:rtl/>
        </w:rPr>
        <w:t xml:space="preserve">لى ما </w:t>
      </w:r>
      <w:r w:rsidRPr="00094646">
        <w:rPr>
          <w:rFonts w:eastAsia="Times New Roman" w:cs="Calibri" w:hint="cs"/>
          <w:sz w:val="28"/>
          <w:szCs w:val="28"/>
          <w:rtl/>
        </w:rPr>
        <w:t xml:space="preserve">أسمته </w:t>
      </w:r>
      <w:r w:rsidRPr="00094646">
        <w:rPr>
          <w:rFonts w:eastAsia="Times New Roman" w:cs="Calibri"/>
          <w:sz w:val="28"/>
          <w:szCs w:val="28"/>
          <w:rtl/>
        </w:rPr>
        <w:t xml:space="preserve">"مصدر حكومي" دون </w:t>
      </w:r>
      <w:r w:rsidRPr="00094646">
        <w:rPr>
          <w:rFonts w:eastAsia="Times New Roman" w:cs="Calibri" w:hint="cs"/>
          <w:sz w:val="28"/>
          <w:szCs w:val="28"/>
          <w:rtl/>
        </w:rPr>
        <w:t>أن تقدم أية معلومات إضافية عنه.</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وقد بلغت نسبة</w:t>
      </w:r>
      <w:r w:rsidRPr="00094646">
        <w:rPr>
          <w:rFonts w:eastAsia="Times New Roman" w:cs="Calibri"/>
          <w:sz w:val="28"/>
          <w:szCs w:val="28"/>
          <w:rtl/>
        </w:rPr>
        <w:t xml:space="preserve"> المواد التي نسبتها عينة الرصد </w:t>
      </w:r>
      <w:r w:rsidRPr="00094646">
        <w:rPr>
          <w:rFonts w:eastAsia="Times New Roman" w:cs="Calibri" w:hint="cs"/>
          <w:sz w:val="28"/>
          <w:szCs w:val="28"/>
          <w:rtl/>
        </w:rPr>
        <w:t>إ</w:t>
      </w:r>
      <w:r w:rsidRPr="00094646">
        <w:rPr>
          <w:rFonts w:eastAsia="Times New Roman" w:cs="Calibri"/>
          <w:sz w:val="28"/>
          <w:szCs w:val="28"/>
          <w:rtl/>
        </w:rPr>
        <w:t>لى "</w:t>
      </w:r>
      <w:r w:rsidRPr="00094646">
        <w:rPr>
          <w:rFonts w:eastAsia="Times New Roman" w:cs="Calibri" w:hint="cs"/>
          <w:sz w:val="28"/>
          <w:szCs w:val="28"/>
          <w:rtl/>
        </w:rPr>
        <w:t>ا</w:t>
      </w:r>
      <w:r w:rsidRPr="00094646">
        <w:rPr>
          <w:rFonts w:eastAsia="Times New Roman" w:cs="Calibri"/>
          <w:sz w:val="28"/>
          <w:szCs w:val="28"/>
          <w:rtl/>
        </w:rPr>
        <w:t>لمصدر الحكوم</w:t>
      </w:r>
      <w:r w:rsidRPr="00094646">
        <w:rPr>
          <w:rFonts w:eastAsia="Times New Roman" w:cs="Calibri" w:hint="cs"/>
          <w:sz w:val="28"/>
          <w:szCs w:val="28"/>
          <w:rtl/>
        </w:rPr>
        <w:t>ي" (80%) من إجمالي المصادر المجهولة، في حين بلغت نسبتها الى إجمالي المواد التي تم رصدها (27.3%).</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وظهرت باقي المواد المكررة بمصادر معرفة لكونها استندت إلى بيانات صدارة إما عن جهات حكومية ر</w:t>
      </w:r>
      <w:r w:rsidRPr="00094646">
        <w:rPr>
          <w:rFonts w:eastAsia="Times New Roman" w:cs="Calibri"/>
          <w:sz w:val="28"/>
          <w:szCs w:val="28"/>
          <w:rtl/>
        </w:rPr>
        <w:t xml:space="preserve">سمية، أو لجهات مدنية وبرلمانية </w:t>
      </w:r>
      <w:r w:rsidRPr="00094646">
        <w:rPr>
          <w:rFonts w:eastAsia="Times New Roman" w:cs="Calibri" w:hint="cs"/>
          <w:sz w:val="28"/>
          <w:szCs w:val="28"/>
          <w:rtl/>
        </w:rPr>
        <w:t>أو للجمعية الملكية لحماية الطبيعة</w:t>
      </w:r>
      <w:r w:rsidRPr="00094646">
        <w:rPr>
          <w:rFonts w:eastAsia="Times New Roman" w:cs="Calibri"/>
          <w:sz w:val="28"/>
          <w:szCs w:val="28"/>
          <w:rtl/>
        </w:rPr>
        <w:t xml:space="preserve"> </w:t>
      </w:r>
      <w:r w:rsidRPr="00094646">
        <w:rPr>
          <w:rFonts w:eastAsia="Times New Roman" w:cs="Calibri" w:hint="cs"/>
          <w:sz w:val="28"/>
          <w:szCs w:val="28"/>
          <w:rtl/>
        </w:rPr>
        <w:t>أو لشركة البوتاس. إلخ.</w:t>
      </w: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b/>
          <w:bCs/>
          <w:sz w:val="28"/>
          <w:szCs w:val="28"/>
          <w:rtl/>
        </w:rPr>
        <w:t xml:space="preserve">2 </w:t>
      </w:r>
      <w:r w:rsidRPr="00094646">
        <w:rPr>
          <w:rFonts w:eastAsia="Times New Roman" w:cs="Calibri" w:hint="eastAsia"/>
          <w:b/>
          <w:bCs/>
          <w:sz w:val="28"/>
          <w:szCs w:val="28"/>
          <w:rtl/>
        </w:rPr>
        <w:t>ــ</w:t>
      </w:r>
      <w:r w:rsidRPr="00094646">
        <w:rPr>
          <w:rFonts w:eastAsia="Times New Roman" w:cs="Calibri"/>
          <w:b/>
          <w:bCs/>
          <w:sz w:val="28"/>
          <w:szCs w:val="28"/>
          <w:rtl/>
        </w:rPr>
        <w:t xml:space="preserve"> </w:t>
      </w:r>
      <w:r w:rsidRPr="00094646">
        <w:rPr>
          <w:rFonts w:eastAsia="Times New Roman" w:cs="Calibri" w:hint="eastAsia"/>
          <w:b/>
          <w:bCs/>
          <w:sz w:val="28"/>
          <w:szCs w:val="28"/>
          <w:rtl/>
        </w:rPr>
        <w:t>التحيز</w:t>
      </w:r>
      <w:r w:rsidRPr="00094646">
        <w:rPr>
          <w:rFonts w:eastAsia="Times New Roman" w:cs="Calibri"/>
          <w:b/>
          <w:bCs/>
          <w:sz w:val="28"/>
          <w:szCs w:val="28"/>
          <w:rtl/>
        </w:rPr>
        <w:t>:</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ظهرت نتائج الرصد والتوثيق تحيزا واضحا في التغطيات الإعلامية للرواية الحكومية الرسمية فمن بين 44 مادة،</w:t>
      </w:r>
      <w:r w:rsidRPr="00094646">
        <w:rPr>
          <w:rFonts w:eastAsia="Times New Roman" w:cs="Calibri"/>
          <w:sz w:val="28"/>
          <w:szCs w:val="28"/>
          <w:rtl/>
        </w:rPr>
        <w:t xml:space="preserve"> ف</w:t>
      </w:r>
      <w:r w:rsidRPr="00094646">
        <w:rPr>
          <w:rFonts w:eastAsia="Times New Roman" w:cs="Calibri" w:hint="cs"/>
          <w:sz w:val="28"/>
          <w:szCs w:val="28"/>
          <w:rtl/>
        </w:rPr>
        <w:t>إن حصة الرواية الحكومية</w:t>
      </w:r>
      <w:r w:rsidRPr="00094646">
        <w:rPr>
          <w:rFonts w:eastAsia="Times New Roman" w:cs="Calibri"/>
          <w:sz w:val="28"/>
          <w:szCs w:val="28"/>
          <w:rtl/>
        </w:rPr>
        <w:t xml:space="preserve"> </w:t>
      </w:r>
      <w:r w:rsidRPr="00094646">
        <w:rPr>
          <w:rFonts w:eastAsia="Times New Roman" w:cs="Calibri" w:hint="cs"/>
          <w:sz w:val="28"/>
          <w:szCs w:val="28"/>
          <w:rtl/>
        </w:rPr>
        <w:t>أو الرسمية بلغت 28 مادة توزعت على النحو التالي:</w:t>
      </w:r>
    </w:p>
    <w:p w:rsidR="00094646" w:rsidRPr="00094646" w:rsidRDefault="00094646" w:rsidP="00094646">
      <w:pPr>
        <w:numPr>
          <w:ilvl w:val="0"/>
          <w:numId w:val="42"/>
        </w:numPr>
        <w:bidi/>
        <w:spacing w:before="100" w:beforeAutospacing="1" w:after="100" w:afterAutospacing="1" w:line="259" w:lineRule="auto"/>
        <w:jc w:val="both"/>
        <w:outlineLvl w:val="0"/>
        <w:rPr>
          <w:rFonts w:eastAsia="Times New Roman" w:cs="Calibri"/>
          <w:b/>
          <w:bCs/>
          <w:kern w:val="36"/>
          <w:sz w:val="28"/>
          <w:szCs w:val="28"/>
        </w:rPr>
      </w:pPr>
      <w:r w:rsidRPr="00094646">
        <w:rPr>
          <w:rFonts w:eastAsia="Times New Roman" w:cs="Calibri" w:hint="cs"/>
          <w:b/>
          <w:bCs/>
          <w:kern w:val="36"/>
          <w:sz w:val="28"/>
          <w:szCs w:val="28"/>
          <w:rtl/>
        </w:rPr>
        <w:lastRenderedPageBreak/>
        <w:t>مصدر حكومي ــ 12 مادة مكررة.</w:t>
      </w:r>
    </w:p>
    <w:p w:rsidR="00094646" w:rsidRPr="00094646" w:rsidRDefault="00094646" w:rsidP="00094646">
      <w:pPr>
        <w:numPr>
          <w:ilvl w:val="0"/>
          <w:numId w:val="42"/>
        </w:numPr>
        <w:bidi/>
        <w:spacing w:before="100" w:beforeAutospacing="1" w:after="100" w:afterAutospacing="1" w:line="259" w:lineRule="auto"/>
        <w:jc w:val="both"/>
        <w:outlineLvl w:val="0"/>
        <w:rPr>
          <w:rFonts w:eastAsia="Times New Roman" w:cs="Calibri"/>
          <w:b/>
          <w:bCs/>
          <w:kern w:val="36"/>
          <w:sz w:val="28"/>
          <w:szCs w:val="28"/>
        </w:rPr>
      </w:pPr>
      <w:r w:rsidRPr="00094646">
        <w:rPr>
          <w:rFonts w:eastAsia="Times New Roman" w:cs="Calibri" w:hint="cs"/>
          <w:b/>
          <w:bCs/>
          <w:kern w:val="36"/>
          <w:sz w:val="28"/>
          <w:szCs w:val="28"/>
          <w:rtl/>
        </w:rPr>
        <w:t>وزير البيئة ــ 1 مادة واحدة.</w:t>
      </w:r>
    </w:p>
    <w:p w:rsidR="00094646" w:rsidRPr="00094646" w:rsidRDefault="00094646" w:rsidP="00094646">
      <w:pPr>
        <w:numPr>
          <w:ilvl w:val="0"/>
          <w:numId w:val="42"/>
        </w:numPr>
        <w:bidi/>
        <w:spacing w:before="100" w:beforeAutospacing="1" w:after="100" w:afterAutospacing="1" w:line="259" w:lineRule="auto"/>
        <w:jc w:val="both"/>
        <w:outlineLvl w:val="0"/>
        <w:rPr>
          <w:rFonts w:eastAsia="Times New Roman" w:cs="Calibri"/>
          <w:b/>
          <w:bCs/>
          <w:kern w:val="36"/>
          <w:sz w:val="28"/>
          <w:szCs w:val="28"/>
        </w:rPr>
      </w:pPr>
      <w:r w:rsidRPr="00094646">
        <w:rPr>
          <w:rFonts w:eastAsia="Times New Roman" w:cs="Calibri" w:hint="cs"/>
          <w:b/>
          <w:bCs/>
          <w:kern w:val="36"/>
          <w:sz w:val="28"/>
          <w:szCs w:val="28"/>
          <w:rtl/>
        </w:rPr>
        <w:t>نواب ــ 5 مواد.</w:t>
      </w:r>
    </w:p>
    <w:p w:rsidR="00094646" w:rsidRPr="00094646" w:rsidRDefault="00094646" w:rsidP="00094646">
      <w:pPr>
        <w:numPr>
          <w:ilvl w:val="0"/>
          <w:numId w:val="42"/>
        </w:numPr>
        <w:bidi/>
        <w:spacing w:before="100" w:beforeAutospacing="1" w:after="100" w:afterAutospacing="1" w:line="259" w:lineRule="auto"/>
        <w:jc w:val="both"/>
        <w:outlineLvl w:val="0"/>
        <w:rPr>
          <w:rFonts w:eastAsia="Times New Roman" w:cs="Calibri"/>
          <w:b/>
          <w:bCs/>
          <w:kern w:val="36"/>
          <w:sz w:val="28"/>
          <w:szCs w:val="28"/>
        </w:rPr>
      </w:pPr>
      <w:r w:rsidRPr="00094646">
        <w:rPr>
          <w:rFonts w:eastAsia="Times New Roman" w:cs="Calibri" w:hint="cs"/>
          <w:b/>
          <w:bCs/>
          <w:kern w:val="36"/>
          <w:sz w:val="28"/>
          <w:szCs w:val="28"/>
          <w:rtl/>
        </w:rPr>
        <w:t>الجمعية العلمية الملكية لحماية الطبيعة ــ 8 مواد</w:t>
      </w:r>
    </w:p>
    <w:p w:rsidR="00094646" w:rsidRPr="00094646" w:rsidRDefault="00094646" w:rsidP="00094646">
      <w:pPr>
        <w:numPr>
          <w:ilvl w:val="0"/>
          <w:numId w:val="42"/>
        </w:numPr>
        <w:bidi/>
        <w:spacing w:before="100" w:beforeAutospacing="1" w:after="100" w:afterAutospacing="1" w:line="259" w:lineRule="auto"/>
        <w:jc w:val="both"/>
        <w:outlineLvl w:val="0"/>
        <w:rPr>
          <w:rFonts w:eastAsia="Times New Roman" w:cs="Calibri"/>
          <w:b/>
          <w:bCs/>
          <w:kern w:val="36"/>
          <w:sz w:val="28"/>
          <w:szCs w:val="28"/>
        </w:rPr>
      </w:pPr>
      <w:r w:rsidRPr="00094646">
        <w:rPr>
          <w:rFonts w:eastAsia="Times New Roman" w:cs="Calibri" w:hint="cs"/>
          <w:b/>
          <w:bCs/>
          <w:kern w:val="36"/>
          <w:sz w:val="28"/>
          <w:szCs w:val="28"/>
          <w:rtl/>
        </w:rPr>
        <w:t>تقرير رسمي ــ 2 مادة.</w:t>
      </w:r>
    </w:p>
    <w:p w:rsidR="00094646" w:rsidRPr="00094646" w:rsidRDefault="00094646" w:rsidP="00094646">
      <w:pPr>
        <w:bidi/>
        <w:spacing w:before="100" w:beforeAutospacing="1" w:after="100" w:afterAutospacing="1"/>
        <w:jc w:val="both"/>
        <w:outlineLvl w:val="0"/>
        <w:rPr>
          <w:rFonts w:eastAsia="Times New Roman" w:cs="Calibri"/>
          <w:kern w:val="36"/>
          <w:sz w:val="28"/>
          <w:szCs w:val="28"/>
          <w:rtl/>
        </w:rPr>
      </w:pPr>
      <w:r w:rsidRPr="00094646">
        <w:rPr>
          <w:rFonts w:eastAsia="Times New Roman" w:cs="Calibri" w:hint="cs"/>
          <w:kern w:val="36"/>
          <w:sz w:val="28"/>
          <w:szCs w:val="28"/>
          <w:rtl/>
        </w:rPr>
        <w:t>وتبلغ نسبة الانحياز للحكومة والجهات الرسمية في مجمل التغطيات (63.3%) وهي نسبة ا</w:t>
      </w:r>
      <w:r w:rsidRPr="00094646">
        <w:rPr>
          <w:rFonts w:eastAsia="Times New Roman" w:cs="Calibri"/>
          <w:kern w:val="36"/>
          <w:sz w:val="28"/>
          <w:szCs w:val="28"/>
          <w:rtl/>
        </w:rPr>
        <w:t xml:space="preserve">نحياز مرتفعة جدا، أدت بالنتيجة </w:t>
      </w:r>
      <w:r w:rsidRPr="00094646">
        <w:rPr>
          <w:rFonts w:eastAsia="Times New Roman" w:cs="Calibri" w:hint="cs"/>
          <w:kern w:val="36"/>
          <w:sz w:val="28"/>
          <w:szCs w:val="28"/>
          <w:rtl/>
        </w:rPr>
        <w:t>إلى إظهار التغطيات وكأنها تتبنى الرواية الرسمية.</w:t>
      </w: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hint="cs"/>
          <w:b/>
          <w:bCs/>
          <w:sz w:val="28"/>
          <w:szCs w:val="28"/>
          <w:rtl/>
        </w:rPr>
        <w:t>3</w:t>
      </w:r>
      <w:r w:rsidRPr="00094646">
        <w:rPr>
          <w:rFonts w:eastAsia="Times New Roman" w:cs="Calibri"/>
          <w:b/>
          <w:bCs/>
          <w:sz w:val="28"/>
          <w:szCs w:val="28"/>
          <w:rtl/>
        </w:rPr>
        <w:t xml:space="preserve"> </w:t>
      </w:r>
      <w:r w:rsidRPr="00094646">
        <w:rPr>
          <w:rFonts w:eastAsia="Times New Roman" w:cs="Calibri" w:hint="eastAsia"/>
          <w:b/>
          <w:bCs/>
          <w:sz w:val="28"/>
          <w:szCs w:val="28"/>
          <w:rtl/>
        </w:rPr>
        <w:t>ــ</w:t>
      </w:r>
      <w:r w:rsidRPr="00094646">
        <w:rPr>
          <w:rFonts w:eastAsia="Times New Roman" w:cs="Calibri"/>
          <w:b/>
          <w:bCs/>
          <w:sz w:val="28"/>
          <w:szCs w:val="28"/>
          <w:rtl/>
        </w:rPr>
        <w:t xml:space="preserve"> </w:t>
      </w:r>
      <w:r w:rsidRPr="00094646">
        <w:rPr>
          <w:rFonts w:eastAsia="Times New Roman" w:cs="Calibri" w:hint="eastAsia"/>
          <w:b/>
          <w:bCs/>
          <w:sz w:val="28"/>
          <w:szCs w:val="28"/>
          <w:rtl/>
        </w:rPr>
        <w:t>الموضوعية</w:t>
      </w:r>
      <w:r w:rsidRPr="00094646">
        <w:rPr>
          <w:rFonts w:eastAsia="Times New Roman" w:cs="Calibri"/>
          <w:b/>
          <w:bCs/>
          <w:sz w:val="28"/>
          <w:szCs w:val="28"/>
          <w:rtl/>
        </w:rPr>
        <w:t>:</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sz w:val="28"/>
          <w:szCs w:val="28"/>
          <w:rtl/>
        </w:rPr>
        <w:t xml:space="preserve">بالرغم من </w:t>
      </w:r>
      <w:r w:rsidRPr="00094646">
        <w:rPr>
          <w:rFonts w:eastAsia="Times New Roman" w:cs="Calibri" w:hint="cs"/>
          <w:sz w:val="28"/>
          <w:szCs w:val="28"/>
          <w:rtl/>
        </w:rPr>
        <w:t xml:space="preserve">أن </w:t>
      </w:r>
      <w:r w:rsidRPr="00094646">
        <w:rPr>
          <w:rFonts w:eastAsia="Times New Roman" w:cs="Calibri" w:hint="eastAsia"/>
          <w:sz w:val="28"/>
          <w:szCs w:val="28"/>
          <w:rtl/>
        </w:rPr>
        <w:t>الموضوعية</w:t>
      </w:r>
      <w:r w:rsidRPr="00094646">
        <w:rPr>
          <w:rFonts w:eastAsia="Times New Roman" w:cs="Calibri"/>
          <w:sz w:val="28"/>
          <w:szCs w:val="28"/>
          <w:rtl/>
        </w:rPr>
        <w:t xml:space="preserve"> </w:t>
      </w:r>
      <w:r w:rsidRPr="00094646">
        <w:rPr>
          <w:rFonts w:eastAsia="Times New Roman" w:cs="Calibri" w:hint="eastAsia"/>
          <w:sz w:val="28"/>
          <w:szCs w:val="28"/>
          <w:rtl/>
        </w:rPr>
        <w:t>في</w:t>
      </w:r>
      <w:r w:rsidRPr="00094646">
        <w:rPr>
          <w:rFonts w:eastAsia="Times New Roman" w:cs="Calibri"/>
          <w:sz w:val="28"/>
          <w:szCs w:val="28"/>
          <w:rtl/>
        </w:rPr>
        <w:t xml:space="preserve"> الإعلام </w:t>
      </w:r>
      <w:r w:rsidRPr="00094646">
        <w:rPr>
          <w:rFonts w:eastAsia="Times New Roman" w:cs="Calibri" w:hint="cs"/>
          <w:sz w:val="28"/>
          <w:szCs w:val="28"/>
          <w:rtl/>
        </w:rPr>
        <w:t xml:space="preserve">تعني </w:t>
      </w:r>
      <w:r w:rsidRPr="00094646">
        <w:rPr>
          <w:rFonts w:eastAsia="Times New Roman" w:cs="Calibri"/>
          <w:sz w:val="28"/>
          <w:szCs w:val="28"/>
          <w:rtl/>
        </w:rPr>
        <w:t>ال</w:t>
      </w:r>
      <w:r w:rsidRPr="00094646">
        <w:rPr>
          <w:rFonts w:eastAsia="Times New Roman" w:cs="Calibri" w:hint="cs"/>
          <w:sz w:val="28"/>
          <w:szCs w:val="28"/>
          <w:rtl/>
        </w:rPr>
        <w:t>إ</w:t>
      </w:r>
      <w:r w:rsidRPr="00094646">
        <w:rPr>
          <w:rFonts w:eastAsia="Times New Roman" w:cs="Calibri" w:hint="eastAsia"/>
          <w:sz w:val="28"/>
          <w:szCs w:val="28"/>
          <w:rtl/>
        </w:rPr>
        <w:t>نصاف</w:t>
      </w:r>
      <w:r w:rsidRPr="00094646">
        <w:rPr>
          <w:rFonts w:eastAsia="Times New Roman" w:cs="Calibri"/>
          <w:sz w:val="28"/>
          <w:szCs w:val="28"/>
          <w:rtl/>
        </w:rPr>
        <w:t xml:space="preserve"> </w:t>
      </w:r>
      <w:r w:rsidRPr="00094646">
        <w:rPr>
          <w:rFonts w:eastAsia="Times New Roman" w:cs="Calibri" w:hint="eastAsia"/>
          <w:sz w:val="28"/>
          <w:szCs w:val="28"/>
          <w:rtl/>
        </w:rPr>
        <w:t>والحياد</w:t>
      </w:r>
      <w:r w:rsidRPr="00094646">
        <w:rPr>
          <w:rFonts w:eastAsia="Times New Roman" w:cs="Calibri"/>
          <w:sz w:val="28"/>
          <w:szCs w:val="28"/>
          <w:rtl/>
        </w:rPr>
        <w:t xml:space="preserve"> </w:t>
      </w:r>
      <w:r w:rsidRPr="00094646">
        <w:rPr>
          <w:rFonts w:eastAsia="Times New Roman" w:cs="Calibri" w:hint="eastAsia"/>
          <w:sz w:val="28"/>
          <w:szCs w:val="28"/>
          <w:rtl/>
        </w:rPr>
        <w:t>و</w:t>
      </w:r>
      <w:r w:rsidRPr="00094646">
        <w:rPr>
          <w:rFonts w:eastAsia="Times New Roman" w:cs="Calibri" w:hint="cs"/>
          <w:sz w:val="28"/>
          <w:szCs w:val="28"/>
          <w:rtl/>
        </w:rPr>
        <w:t xml:space="preserve">عدم </w:t>
      </w:r>
      <w:r w:rsidRPr="00094646">
        <w:rPr>
          <w:rFonts w:eastAsia="Times New Roman" w:cs="Calibri" w:hint="eastAsia"/>
          <w:sz w:val="28"/>
          <w:szCs w:val="28"/>
          <w:rtl/>
        </w:rPr>
        <w:t>الانحياز،</w:t>
      </w:r>
      <w:r w:rsidRPr="00094646">
        <w:rPr>
          <w:rFonts w:eastAsia="Times New Roman" w:cs="Calibri"/>
          <w:sz w:val="28"/>
          <w:szCs w:val="28"/>
          <w:rtl/>
        </w:rPr>
        <w:t xml:space="preserve"> ف</w:t>
      </w:r>
      <w:r w:rsidRPr="00094646">
        <w:rPr>
          <w:rFonts w:eastAsia="Times New Roman" w:cs="Calibri" w:hint="cs"/>
          <w:sz w:val="28"/>
          <w:szCs w:val="28"/>
          <w:rtl/>
        </w:rPr>
        <w:t>إن الانحياز الواضح في التغط</w:t>
      </w:r>
      <w:r w:rsidRPr="00094646">
        <w:rPr>
          <w:rFonts w:eastAsia="Times New Roman" w:cs="Calibri"/>
          <w:sz w:val="28"/>
          <w:szCs w:val="28"/>
          <w:rtl/>
        </w:rPr>
        <w:t xml:space="preserve">ية للرواية الرسمية قد </w:t>
      </w:r>
      <w:r w:rsidRPr="00094646">
        <w:rPr>
          <w:rFonts w:eastAsia="Times New Roman" w:cs="Calibri" w:hint="cs"/>
          <w:sz w:val="28"/>
          <w:szCs w:val="28"/>
          <w:rtl/>
        </w:rPr>
        <w:t>أ</w:t>
      </w:r>
      <w:r w:rsidRPr="00094646">
        <w:rPr>
          <w:rFonts w:eastAsia="Times New Roman" w:cs="Calibri"/>
          <w:sz w:val="28"/>
          <w:szCs w:val="28"/>
          <w:rtl/>
        </w:rPr>
        <w:t xml:space="preserve">دى بالنتيجة </w:t>
      </w:r>
      <w:r w:rsidRPr="00094646">
        <w:rPr>
          <w:rFonts w:eastAsia="Times New Roman" w:cs="Calibri" w:hint="cs"/>
          <w:sz w:val="28"/>
          <w:szCs w:val="28"/>
          <w:rtl/>
        </w:rPr>
        <w:t>إلى اختلال معيار الموضوعية.</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أظهرت النتائج أن وسائل</w:t>
      </w:r>
      <w:r w:rsidRPr="00094646">
        <w:rPr>
          <w:rFonts w:eastAsia="Times New Roman" w:cs="Calibri"/>
          <w:sz w:val="28"/>
          <w:szCs w:val="28"/>
          <w:rtl/>
        </w:rPr>
        <w:t xml:space="preserve"> الإعلام لم تلجأ </w:t>
      </w:r>
      <w:r w:rsidRPr="00094646">
        <w:rPr>
          <w:rFonts w:eastAsia="Times New Roman" w:cs="Calibri" w:hint="cs"/>
          <w:sz w:val="28"/>
          <w:szCs w:val="28"/>
          <w:rtl/>
        </w:rPr>
        <w:t>إلى مؤسسات المجتمع</w:t>
      </w:r>
      <w:r w:rsidRPr="00094646">
        <w:rPr>
          <w:rFonts w:eastAsia="Times New Roman" w:cs="Calibri"/>
          <w:sz w:val="28"/>
          <w:szCs w:val="28"/>
          <w:rtl/>
        </w:rPr>
        <w:t xml:space="preserve"> المدني المهتمة بالجانب البيئي </w:t>
      </w:r>
      <w:r w:rsidRPr="00094646">
        <w:rPr>
          <w:rFonts w:eastAsia="Times New Roman" w:cs="Calibri" w:hint="cs"/>
          <w:sz w:val="28"/>
          <w:szCs w:val="28"/>
          <w:rtl/>
        </w:rPr>
        <w:t>أ</w:t>
      </w:r>
      <w:r w:rsidRPr="00094646">
        <w:rPr>
          <w:rFonts w:eastAsia="Times New Roman" w:cs="Calibri"/>
          <w:sz w:val="28"/>
          <w:szCs w:val="28"/>
          <w:rtl/>
        </w:rPr>
        <w:t xml:space="preserve">و </w:t>
      </w:r>
      <w:r w:rsidRPr="00094646">
        <w:rPr>
          <w:rFonts w:eastAsia="Times New Roman" w:cs="Calibri" w:hint="cs"/>
          <w:sz w:val="28"/>
          <w:szCs w:val="28"/>
          <w:rtl/>
        </w:rPr>
        <w:t>آراء الموا</w:t>
      </w:r>
      <w:r w:rsidRPr="00094646">
        <w:rPr>
          <w:rFonts w:eastAsia="Times New Roman" w:cs="Calibri"/>
          <w:sz w:val="28"/>
          <w:szCs w:val="28"/>
          <w:rtl/>
        </w:rPr>
        <w:t>طنين، ومن بين إجمالي التغطيات ف</w:t>
      </w:r>
      <w:r w:rsidRPr="00094646">
        <w:rPr>
          <w:rFonts w:eastAsia="Times New Roman" w:cs="Calibri" w:hint="cs"/>
          <w:sz w:val="28"/>
          <w:szCs w:val="28"/>
          <w:rtl/>
        </w:rPr>
        <w:t>إن ثلاث مواد فقط أظهرت مواقف لكل من حزب ومهتمين بالبيئة، واجتماع مواطنين في الكرك لبحث هذه القضية.</w:t>
      </w:r>
    </w:p>
    <w:p w:rsidR="00094646" w:rsidRPr="00094646" w:rsidRDefault="00094646" w:rsidP="00094646">
      <w:pPr>
        <w:bidi/>
        <w:spacing w:after="200" w:line="276" w:lineRule="auto"/>
        <w:jc w:val="both"/>
        <w:rPr>
          <w:rFonts w:eastAsia="Times New Roman" w:cs="Calibri"/>
          <w:sz w:val="28"/>
          <w:szCs w:val="28"/>
        </w:rPr>
      </w:pPr>
      <w:r w:rsidRPr="00094646">
        <w:rPr>
          <w:rFonts w:eastAsia="Times New Roman" w:cs="Calibri" w:hint="cs"/>
          <w:sz w:val="28"/>
          <w:szCs w:val="28"/>
          <w:rtl/>
        </w:rPr>
        <w:t>غابت الموضوعية عن تغطيات تجريف محمية فيفا لصالح الرواية الرسمية، أو حتى لصالح رواية شركة البوتا</w:t>
      </w:r>
      <w:r w:rsidRPr="00094646">
        <w:rPr>
          <w:rFonts w:eastAsia="Times New Roman" w:cs="Calibri"/>
          <w:sz w:val="28"/>
          <w:szCs w:val="28"/>
          <w:rtl/>
        </w:rPr>
        <w:t xml:space="preserve">س التي حظيت بثماني مواد استندت </w:t>
      </w:r>
      <w:r w:rsidRPr="00094646">
        <w:rPr>
          <w:rFonts w:eastAsia="Times New Roman" w:cs="Calibri" w:hint="cs"/>
          <w:sz w:val="28"/>
          <w:szCs w:val="28"/>
          <w:rtl/>
        </w:rPr>
        <w:t>إ</w:t>
      </w:r>
      <w:r w:rsidRPr="00094646">
        <w:rPr>
          <w:rFonts w:eastAsia="Times New Roman" w:cs="Calibri"/>
          <w:sz w:val="28"/>
          <w:szCs w:val="28"/>
          <w:rtl/>
        </w:rPr>
        <w:t xml:space="preserve">لى بيان الشركة الذي تنفي فيه </w:t>
      </w:r>
      <w:r w:rsidRPr="00094646">
        <w:rPr>
          <w:rFonts w:eastAsia="Times New Roman" w:cs="Calibri" w:hint="cs"/>
          <w:sz w:val="28"/>
          <w:szCs w:val="28"/>
          <w:rtl/>
        </w:rPr>
        <w:t>أية علاقة لها</w:t>
      </w:r>
      <w:r w:rsidRPr="00094646">
        <w:rPr>
          <w:rFonts w:eastAsia="Times New Roman" w:cs="Calibri"/>
          <w:sz w:val="28"/>
          <w:szCs w:val="28"/>
          <w:rtl/>
        </w:rPr>
        <w:t xml:space="preserve"> بعملية التحريف، في الوقت الذي </w:t>
      </w:r>
      <w:r w:rsidRPr="00094646">
        <w:rPr>
          <w:rFonts w:eastAsia="Times New Roman" w:cs="Calibri" w:hint="cs"/>
          <w:sz w:val="28"/>
          <w:szCs w:val="28"/>
          <w:rtl/>
        </w:rPr>
        <w:t>أعلنت فيه الجمعية الملكية لحماية الطبيعة أنها تلقت كتابا رسميا يفيد بتوسعة المحمية لصالح شركة البوتاس.</w:t>
      </w: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b/>
          <w:bCs/>
          <w:sz w:val="28"/>
          <w:szCs w:val="28"/>
          <w:rtl/>
        </w:rPr>
        <w:t xml:space="preserve">4 </w:t>
      </w:r>
      <w:r w:rsidRPr="00094646">
        <w:rPr>
          <w:rFonts w:eastAsia="Times New Roman" w:cs="Calibri" w:hint="eastAsia"/>
          <w:b/>
          <w:bCs/>
          <w:sz w:val="28"/>
          <w:szCs w:val="28"/>
          <w:rtl/>
        </w:rPr>
        <w:t>ــ</w:t>
      </w:r>
      <w:r w:rsidRPr="00094646">
        <w:rPr>
          <w:rFonts w:eastAsia="Times New Roman" w:cs="Calibri"/>
          <w:b/>
          <w:bCs/>
          <w:sz w:val="28"/>
          <w:szCs w:val="28"/>
          <w:rtl/>
        </w:rPr>
        <w:t xml:space="preserve"> </w:t>
      </w:r>
      <w:r w:rsidRPr="00094646">
        <w:rPr>
          <w:rFonts w:eastAsia="Times New Roman" w:cs="Calibri" w:hint="cs"/>
          <w:b/>
          <w:bCs/>
          <w:sz w:val="28"/>
          <w:szCs w:val="28"/>
          <w:rtl/>
        </w:rPr>
        <w:t>الاكتمال</w:t>
      </w:r>
      <w:r w:rsidRPr="00094646">
        <w:rPr>
          <w:rFonts w:eastAsia="Times New Roman" w:cs="Calibri"/>
          <w:b/>
          <w:bCs/>
          <w:sz w:val="28"/>
          <w:szCs w:val="28"/>
          <w:rtl/>
        </w:rPr>
        <w:t xml:space="preserve"> </w:t>
      </w:r>
      <w:r w:rsidRPr="00094646">
        <w:rPr>
          <w:rFonts w:eastAsia="Times New Roman" w:cs="Calibri" w:hint="eastAsia"/>
          <w:b/>
          <w:bCs/>
          <w:sz w:val="28"/>
          <w:szCs w:val="28"/>
          <w:rtl/>
        </w:rPr>
        <w:t>والشمولية</w:t>
      </w:r>
      <w:r w:rsidRPr="00094646">
        <w:rPr>
          <w:rFonts w:eastAsia="Times New Roman" w:cs="Calibri"/>
          <w:b/>
          <w:bCs/>
          <w:sz w:val="28"/>
          <w:szCs w:val="28"/>
          <w:rtl/>
        </w:rPr>
        <w:t>:</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ظلت الرواية التي قدمتها وسائل</w:t>
      </w:r>
      <w:r w:rsidRPr="00094646">
        <w:rPr>
          <w:rFonts w:eastAsia="Times New Roman" w:cs="Calibri"/>
          <w:sz w:val="28"/>
          <w:szCs w:val="28"/>
          <w:rtl/>
        </w:rPr>
        <w:t xml:space="preserve"> الإعلام </w:t>
      </w:r>
      <w:r w:rsidRPr="00094646">
        <w:rPr>
          <w:rFonts w:eastAsia="Times New Roman" w:cs="Calibri" w:hint="cs"/>
          <w:sz w:val="28"/>
          <w:szCs w:val="28"/>
          <w:rtl/>
        </w:rPr>
        <w:t>عن تحريف محمية فيفا ناقصة وغير مكتملة، وتنقصها الشمولية، فلم تسأل عن حقيقة الكتاب الذي تلقته الجمعية الملكية طالبا التوسع في المحمية لحساب شركة البوتاس، ولم تتابع وسائل</w:t>
      </w:r>
      <w:r w:rsidRPr="00094646">
        <w:rPr>
          <w:rFonts w:eastAsia="Times New Roman" w:cs="Calibri"/>
          <w:sz w:val="28"/>
          <w:szCs w:val="28"/>
          <w:rtl/>
        </w:rPr>
        <w:t xml:space="preserve"> الإعلام </w:t>
      </w:r>
      <w:r w:rsidRPr="00094646">
        <w:rPr>
          <w:rFonts w:eastAsia="Times New Roman" w:cs="Calibri" w:hint="cs"/>
          <w:sz w:val="28"/>
          <w:szCs w:val="28"/>
          <w:rtl/>
        </w:rPr>
        <w:t>تصريحات المسؤول الحكوم</w:t>
      </w:r>
      <w:r w:rsidRPr="00094646">
        <w:rPr>
          <w:rFonts w:eastAsia="Times New Roman" w:cs="Calibri"/>
          <w:sz w:val="28"/>
          <w:szCs w:val="28"/>
          <w:rtl/>
        </w:rPr>
        <w:t>ي الذي أرجع تجريف المحمية لدواع</w:t>
      </w:r>
      <w:r w:rsidRPr="00094646">
        <w:rPr>
          <w:rFonts w:eastAsia="Times New Roman" w:cs="Calibri" w:hint="cs"/>
          <w:sz w:val="28"/>
          <w:szCs w:val="28"/>
          <w:rtl/>
        </w:rPr>
        <w:t>ٍ أمنية، ولم تتابع تلك "الدواعي الأمنية" وفيما إذا شهد</w:t>
      </w:r>
      <w:r w:rsidRPr="00094646">
        <w:rPr>
          <w:rFonts w:eastAsia="Times New Roman" w:cs="Calibri"/>
          <w:sz w:val="28"/>
          <w:szCs w:val="28"/>
          <w:rtl/>
        </w:rPr>
        <w:t xml:space="preserve">ت المحمية حالات تسلل أو عمليات </w:t>
      </w:r>
      <w:r w:rsidRPr="00094646">
        <w:rPr>
          <w:rFonts w:eastAsia="Times New Roman" w:cs="Calibri" w:hint="cs"/>
          <w:sz w:val="28"/>
          <w:szCs w:val="28"/>
          <w:rtl/>
        </w:rPr>
        <w:t>أمنية في المنطقة.</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ولم تتوجه وسائل</w:t>
      </w:r>
      <w:r w:rsidRPr="00094646">
        <w:rPr>
          <w:rFonts w:eastAsia="Times New Roman" w:cs="Calibri"/>
          <w:sz w:val="28"/>
          <w:szCs w:val="28"/>
          <w:rtl/>
        </w:rPr>
        <w:t xml:space="preserve"> الإعلام </w:t>
      </w:r>
      <w:r w:rsidRPr="00094646">
        <w:rPr>
          <w:rFonts w:eastAsia="Times New Roman" w:cs="Calibri" w:hint="cs"/>
          <w:sz w:val="28"/>
          <w:szCs w:val="28"/>
          <w:rtl/>
        </w:rPr>
        <w:t>في عينة الرصد لخبراء بيئيين لسؤالهم عن القيمة البيئية للمحمية وهل تشكل خطرا أمنيا، ولم تتحقق من علاقة شركة البوتاس</w:t>
      </w:r>
      <w:r w:rsidRPr="00094646">
        <w:rPr>
          <w:rFonts w:eastAsia="Times New Roman" w:cs="Calibri"/>
          <w:sz w:val="28"/>
          <w:szCs w:val="28"/>
          <w:rtl/>
        </w:rPr>
        <w:t xml:space="preserve"> مع عملية التجريف، وغيرها من ال</w:t>
      </w:r>
      <w:r w:rsidRPr="00094646">
        <w:rPr>
          <w:rFonts w:eastAsia="Times New Roman" w:cs="Calibri" w:hint="cs"/>
          <w:sz w:val="28"/>
          <w:szCs w:val="28"/>
          <w:rtl/>
        </w:rPr>
        <w:t>أسئلة التي كان يتوجب على وسائل</w:t>
      </w:r>
      <w:r w:rsidRPr="00094646">
        <w:rPr>
          <w:rFonts w:eastAsia="Times New Roman" w:cs="Calibri"/>
          <w:sz w:val="28"/>
          <w:szCs w:val="28"/>
          <w:rtl/>
        </w:rPr>
        <w:t xml:space="preserve"> الإعلام </w:t>
      </w:r>
      <w:r w:rsidRPr="00094646">
        <w:rPr>
          <w:rFonts w:eastAsia="Times New Roman" w:cs="Calibri" w:hint="cs"/>
          <w:sz w:val="28"/>
          <w:szCs w:val="28"/>
          <w:rtl/>
        </w:rPr>
        <w:t>متابعتها.</w:t>
      </w:r>
    </w:p>
    <w:p w:rsidR="00094646" w:rsidRPr="00094646" w:rsidRDefault="00094646" w:rsidP="00094646">
      <w:pPr>
        <w:bidi/>
        <w:spacing w:after="200" w:line="276" w:lineRule="auto"/>
        <w:jc w:val="both"/>
        <w:rPr>
          <w:rFonts w:eastAsia="Times New Roman" w:cs="Calibri"/>
          <w:b/>
          <w:bCs/>
          <w:sz w:val="28"/>
          <w:szCs w:val="28"/>
          <w:rtl/>
        </w:rPr>
      </w:pPr>
      <w:r w:rsidRPr="00094646">
        <w:rPr>
          <w:rFonts w:eastAsia="Times New Roman" w:cs="Calibri"/>
          <w:b/>
          <w:bCs/>
          <w:sz w:val="28"/>
          <w:szCs w:val="28"/>
          <w:rtl/>
        </w:rPr>
        <w:t xml:space="preserve">5 </w:t>
      </w:r>
      <w:r w:rsidRPr="00094646">
        <w:rPr>
          <w:rFonts w:eastAsia="Times New Roman" w:cs="Calibri" w:hint="eastAsia"/>
          <w:b/>
          <w:bCs/>
          <w:sz w:val="28"/>
          <w:szCs w:val="28"/>
          <w:rtl/>
        </w:rPr>
        <w:t>ــ</w:t>
      </w:r>
      <w:r w:rsidRPr="00094646">
        <w:rPr>
          <w:rFonts w:eastAsia="Times New Roman" w:cs="Calibri"/>
          <w:b/>
          <w:bCs/>
          <w:sz w:val="28"/>
          <w:szCs w:val="28"/>
          <w:rtl/>
        </w:rPr>
        <w:t xml:space="preserve"> </w:t>
      </w:r>
      <w:r w:rsidRPr="00094646">
        <w:rPr>
          <w:rFonts w:eastAsia="Times New Roman" w:cs="Calibri" w:hint="eastAsia"/>
          <w:b/>
          <w:bCs/>
          <w:sz w:val="28"/>
          <w:szCs w:val="28"/>
          <w:rtl/>
        </w:rPr>
        <w:t>الدقة</w:t>
      </w:r>
      <w:r w:rsidRPr="00094646">
        <w:rPr>
          <w:rFonts w:eastAsia="Times New Roman" w:cs="Calibri"/>
          <w:b/>
          <w:bCs/>
          <w:sz w:val="28"/>
          <w:szCs w:val="28"/>
          <w:rtl/>
        </w:rPr>
        <w:t xml:space="preserve"> </w:t>
      </w:r>
      <w:r w:rsidRPr="00094646">
        <w:rPr>
          <w:rFonts w:eastAsia="Times New Roman" w:cs="Calibri" w:hint="eastAsia"/>
          <w:b/>
          <w:bCs/>
          <w:sz w:val="28"/>
          <w:szCs w:val="28"/>
          <w:rtl/>
        </w:rPr>
        <w:t>والعمق</w:t>
      </w:r>
      <w:r w:rsidRPr="00094646">
        <w:rPr>
          <w:rFonts w:eastAsia="Times New Roman" w:cs="Calibri"/>
          <w:b/>
          <w:bCs/>
          <w:sz w:val="28"/>
          <w:szCs w:val="28"/>
          <w:rtl/>
        </w:rPr>
        <w:t xml:space="preserve"> </w:t>
      </w:r>
      <w:r w:rsidRPr="00094646">
        <w:rPr>
          <w:rFonts w:eastAsia="Times New Roman" w:cs="Calibri" w:hint="eastAsia"/>
          <w:b/>
          <w:bCs/>
          <w:sz w:val="28"/>
          <w:szCs w:val="28"/>
          <w:rtl/>
        </w:rPr>
        <w:t>والمتابعة</w:t>
      </w:r>
      <w:r w:rsidRPr="00094646">
        <w:rPr>
          <w:rFonts w:eastAsia="Times New Roman" w:cs="Calibri"/>
          <w:b/>
          <w:bCs/>
          <w:sz w:val="28"/>
          <w:szCs w:val="28"/>
          <w:rtl/>
        </w:rPr>
        <w:t>:</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lastRenderedPageBreak/>
        <w:t>ظل اعتماد وسائل</w:t>
      </w:r>
      <w:r w:rsidRPr="00094646">
        <w:rPr>
          <w:rFonts w:eastAsia="Times New Roman" w:cs="Calibri"/>
          <w:sz w:val="28"/>
          <w:szCs w:val="28"/>
          <w:rtl/>
        </w:rPr>
        <w:t xml:space="preserve"> الإعلام </w:t>
      </w:r>
      <w:r w:rsidRPr="00094646">
        <w:rPr>
          <w:rFonts w:eastAsia="Times New Roman" w:cs="Calibri" w:hint="cs"/>
          <w:sz w:val="28"/>
          <w:szCs w:val="28"/>
          <w:rtl/>
        </w:rPr>
        <w:t>في عينة الرصد على التغطية الإخبارية التي تستند الى البيانا</w:t>
      </w:r>
      <w:r w:rsidRPr="00094646">
        <w:rPr>
          <w:rFonts w:eastAsia="Times New Roman" w:cs="Calibri" w:hint="eastAsia"/>
          <w:sz w:val="28"/>
          <w:szCs w:val="28"/>
          <w:rtl/>
        </w:rPr>
        <w:t>ت</w:t>
      </w:r>
      <w:r w:rsidRPr="00094646">
        <w:rPr>
          <w:rFonts w:eastAsia="Times New Roman" w:cs="Calibri" w:hint="cs"/>
          <w:sz w:val="28"/>
          <w:szCs w:val="28"/>
          <w:rtl/>
        </w:rPr>
        <w:t xml:space="preserve"> والتصريحات الجاهزة </w:t>
      </w:r>
      <w:r w:rsidRPr="00094646">
        <w:rPr>
          <w:rFonts w:eastAsia="Times New Roman" w:cs="Calibri"/>
          <w:sz w:val="28"/>
          <w:szCs w:val="28"/>
          <w:rtl/>
        </w:rPr>
        <w:t xml:space="preserve">حائلا </w:t>
      </w:r>
      <w:r w:rsidRPr="00094646">
        <w:rPr>
          <w:rFonts w:eastAsia="Times New Roman" w:cs="Calibri" w:hint="cs"/>
          <w:sz w:val="28"/>
          <w:szCs w:val="28"/>
          <w:rtl/>
        </w:rPr>
        <w:t>أمامها للتوسع في متابعة القضية وتقديم تقارير ومعلومات جديدة عن تجريف المحمية.</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sz w:val="28"/>
          <w:szCs w:val="28"/>
          <w:rtl/>
        </w:rPr>
        <w:t>لقد ظلت الرواية الدقيقة عن ال</w:t>
      </w:r>
      <w:r w:rsidRPr="00094646">
        <w:rPr>
          <w:rFonts w:eastAsia="Times New Roman" w:cs="Calibri" w:hint="cs"/>
          <w:sz w:val="28"/>
          <w:szCs w:val="28"/>
          <w:rtl/>
        </w:rPr>
        <w:t>أسباب وعن الجهات المستفيدة من التجريف، ومن الذي أمر بالتجريف معلومات غائبة عن التغطية، فيما ظل اعتمادها في نشر الصدور والفيديوها</w:t>
      </w:r>
      <w:r w:rsidRPr="00094646">
        <w:rPr>
          <w:rFonts w:eastAsia="Times New Roman" w:cs="Calibri" w:hint="eastAsia"/>
          <w:sz w:val="28"/>
          <w:szCs w:val="28"/>
          <w:rtl/>
        </w:rPr>
        <w:t>ت</w:t>
      </w:r>
      <w:r w:rsidRPr="00094646">
        <w:rPr>
          <w:rFonts w:eastAsia="Times New Roman" w:cs="Calibri" w:hint="cs"/>
          <w:sz w:val="28"/>
          <w:szCs w:val="28"/>
          <w:rtl/>
        </w:rPr>
        <w:t xml:space="preserve"> على ما نشرته الجمعية الملكية لحماية الطبيعة.</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لم تذهب أي من وسائل</w:t>
      </w:r>
      <w:r w:rsidRPr="00094646">
        <w:rPr>
          <w:rFonts w:eastAsia="Times New Roman" w:cs="Calibri"/>
          <w:sz w:val="28"/>
          <w:szCs w:val="28"/>
          <w:rtl/>
        </w:rPr>
        <w:t xml:space="preserve"> الإعلام </w:t>
      </w:r>
      <w:r w:rsidRPr="00094646">
        <w:rPr>
          <w:rFonts w:eastAsia="Times New Roman" w:cs="Calibri" w:hint="cs"/>
          <w:sz w:val="28"/>
          <w:szCs w:val="28"/>
          <w:rtl/>
        </w:rPr>
        <w:t>في عينة الرصد الى موقع المحمية لإنتاج تقارير خاصة قد تخالف الرواية الرسمية ولتقديم رواية محايدة.</w:t>
      </w:r>
    </w:p>
    <w:p w:rsidR="00094646" w:rsidRPr="00094646" w:rsidRDefault="00094646" w:rsidP="00094646">
      <w:pPr>
        <w:bidi/>
        <w:spacing w:after="200" w:line="276" w:lineRule="auto"/>
        <w:jc w:val="both"/>
        <w:rPr>
          <w:rFonts w:eastAsia="Times New Roman" w:cs="Calibri"/>
          <w:sz w:val="28"/>
          <w:szCs w:val="28"/>
          <w:rtl/>
        </w:rPr>
      </w:pPr>
      <w:r w:rsidRPr="00094646">
        <w:rPr>
          <w:rFonts w:eastAsia="Times New Roman" w:cs="Calibri" w:hint="cs"/>
          <w:sz w:val="28"/>
          <w:szCs w:val="28"/>
          <w:rtl/>
        </w:rPr>
        <w:t>ولم تتابع</w:t>
      </w:r>
      <w:r w:rsidRPr="00094646">
        <w:rPr>
          <w:rFonts w:eastAsia="Times New Roman" w:cs="Calibri"/>
          <w:sz w:val="28"/>
          <w:szCs w:val="28"/>
          <w:rtl/>
        </w:rPr>
        <w:t xml:space="preserve"> عينة الرصد النتائج التي انتهت </w:t>
      </w:r>
      <w:r w:rsidRPr="00094646">
        <w:rPr>
          <w:rFonts w:eastAsia="Times New Roman" w:cs="Calibri" w:hint="cs"/>
          <w:sz w:val="28"/>
          <w:szCs w:val="28"/>
          <w:rtl/>
        </w:rPr>
        <w:t>إليها عملية التجريف، ولم تقم بالاستعانة بقانونيين وخبراء بيئيين لسؤالهم عن مدى الضرر البيئي الناتج عن عملية التجريف، وعن المسؤولية القانونية لهذه العملية</w:t>
      </w:r>
    </w:p>
    <w:p w:rsidR="00094646" w:rsidRPr="00094646" w:rsidRDefault="00094646" w:rsidP="00094646">
      <w:pPr>
        <w:bidi/>
        <w:spacing w:after="160" w:line="259" w:lineRule="auto"/>
        <w:rPr>
          <w:rFonts w:asciiTheme="minorHAnsi" w:eastAsiaTheme="minorHAnsi" w:hAnsiTheme="minorHAnsi" w:cstheme="minorHAnsi"/>
          <w:sz w:val="28"/>
          <w:szCs w:val="28"/>
        </w:rPr>
      </w:pPr>
    </w:p>
    <w:p w:rsidR="0036653C" w:rsidRPr="00094646" w:rsidRDefault="0036653C" w:rsidP="0036653C">
      <w:pPr>
        <w:bidi/>
        <w:spacing w:after="200" w:line="276" w:lineRule="auto"/>
        <w:rPr>
          <w:rFonts w:eastAsia="Times New Roman" w:cs="Calibri" w:hint="cs"/>
          <w:b/>
          <w:bCs/>
          <w:sz w:val="28"/>
          <w:szCs w:val="28"/>
          <w:rtl/>
          <w:lang w:bidi="ar-JO"/>
        </w:rPr>
      </w:pPr>
      <w:bookmarkStart w:id="0" w:name="_GoBack"/>
      <w:bookmarkEnd w:id="0"/>
    </w:p>
    <w:sectPr w:rsidR="0036653C" w:rsidRPr="00094646" w:rsidSect="00A81AA8">
      <w:headerReference w:type="default" r:id="rId12"/>
      <w:footerReference w:type="default" r:id="rId13"/>
      <w:headerReference w:type="first" r:id="rId14"/>
      <w:pgSz w:w="11906" w:h="16838"/>
      <w:pgMar w:top="2694" w:right="1800" w:bottom="1560" w:left="1800" w:header="708" w:footer="82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9F" w:rsidRDefault="0033619F" w:rsidP="00B24A3E">
      <w:r>
        <w:separator/>
      </w:r>
    </w:p>
  </w:endnote>
  <w:endnote w:type="continuationSeparator" w:id="0">
    <w:p w:rsidR="0033619F" w:rsidRDefault="0033619F"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5350403"/>
      <w:docPartObj>
        <w:docPartGallery w:val="Page Numbers (Bottom of Page)"/>
        <w:docPartUnique/>
      </w:docPartObj>
    </w:sdtPr>
    <w:sdtEndPr>
      <w:rPr>
        <w:noProof/>
      </w:rPr>
    </w:sdtEndPr>
    <w:sdtContent>
      <w:p w:rsidR="00400F8C" w:rsidRDefault="00400F8C">
        <w:pPr>
          <w:pStyle w:val="Footer"/>
          <w:jc w:val="center"/>
        </w:pPr>
        <w:r>
          <w:fldChar w:fldCharType="begin"/>
        </w:r>
        <w:r>
          <w:instrText xml:space="preserve"> PAGE   \* MERGEFORMAT </w:instrText>
        </w:r>
        <w:r>
          <w:fldChar w:fldCharType="separate"/>
        </w:r>
        <w:r w:rsidR="00094646">
          <w:rPr>
            <w:noProof/>
            <w:rtl/>
          </w:rPr>
          <w:t>7</w:t>
        </w:r>
        <w:r>
          <w:rPr>
            <w:noProof/>
          </w:rPr>
          <w:fldChar w:fldCharType="end"/>
        </w:r>
      </w:p>
    </w:sdtContent>
  </w:sdt>
  <w:p w:rsidR="00400F8C" w:rsidRDefault="004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9F" w:rsidRDefault="0033619F" w:rsidP="00B24A3E">
      <w:r>
        <w:separator/>
      </w:r>
    </w:p>
  </w:footnote>
  <w:footnote w:type="continuationSeparator" w:id="0">
    <w:p w:rsidR="0033619F" w:rsidRDefault="0033619F" w:rsidP="00B2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pPr>
      <w:pStyle w:val="Header"/>
      <w:rPr>
        <w:noProof/>
        <w:rtl/>
      </w:rPr>
    </w:pPr>
  </w:p>
  <w:p w:rsidR="00400F8C" w:rsidRDefault="00400F8C">
    <w:pPr>
      <w:pStyle w:val="Header"/>
    </w:pPr>
    <w:r>
      <w:rPr>
        <w:noProof/>
        <w:rtl/>
      </w:rPr>
      <w:drawing>
        <wp:anchor distT="0" distB="0" distL="114300" distR="114300" simplePos="0" relativeHeight="251658752" behindDoc="0" locked="0" layoutInCell="1" allowOverlap="1" wp14:anchorId="280E4D10" wp14:editId="47AF2A0A">
          <wp:simplePos x="0" y="0"/>
          <wp:positionH relativeFrom="column">
            <wp:posOffset>4310408</wp:posOffset>
          </wp:positionH>
          <wp:positionV relativeFrom="paragraph">
            <wp:posOffset>204006</wp:posOffset>
          </wp:positionV>
          <wp:extent cx="1573530" cy="738505"/>
          <wp:effectExtent l="0" t="0" r="0" b="0"/>
          <wp:wrapNone/>
          <wp:docPr id="1" name="Picture 1"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t="26639" b="26447"/>
                  <a:stretch>
                    <a:fillRect/>
                  </a:stretch>
                </pic:blipFill>
                <pic:spPr bwMode="auto">
                  <a:xfrm>
                    <a:off x="0" y="0"/>
                    <a:ext cx="157353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rsidP="00DA7631">
    <w:pPr>
      <w:pStyle w:val="Header"/>
    </w:pPr>
    <w:r>
      <w:rPr>
        <w:noProof/>
      </w:rPr>
      <w:drawing>
        <wp:anchor distT="0" distB="0" distL="114300" distR="114300" simplePos="0" relativeHeight="251660800" behindDoc="1" locked="0" layoutInCell="1" allowOverlap="1" wp14:anchorId="22F92115" wp14:editId="4A76DDD2">
          <wp:simplePos x="0" y="0"/>
          <wp:positionH relativeFrom="page">
            <wp:align>right</wp:align>
          </wp:positionH>
          <wp:positionV relativeFrom="paragraph">
            <wp:posOffset>-430539</wp:posOffset>
          </wp:positionV>
          <wp:extent cx="7537450" cy="10658475"/>
          <wp:effectExtent l="0" t="0" r="6350" b="9525"/>
          <wp:wrapNone/>
          <wp:docPr id="2" name="Picture 2"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A"/>
    <w:multiLevelType w:val="hybridMultilevel"/>
    <w:tmpl w:val="177E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1CB9"/>
    <w:multiLevelType w:val="hybridMultilevel"/>
    <w:tmpl w:val="1EDEB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20D"/>
    <w:multiLevelType w:val="hybridMultilevel"/>
    <w:tmpl w:val="89A0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E2556"/>
    <w:multiLevelType w:val="hybridMultilevel"/>
    <w:tmpl w:val="1F88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B5D1E"/>
    <w:multiLevelType w:val="hybridMultilevel"/>
    <w:tmpl w:val="3F2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64A80"/>
    <w:multiLevelType w:val="hybridMultilevel"/>
    <w:tmpl w:val="6B04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6D89"/>
    <w:multiLevelType w:val="hybridMultilevel"/>
    <w:tmpl w:val="25F80D16"/>
    <w:lvl w:ilvl="0" w:tplc="D140F9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603EA"/>
    <w:multiLevelType w:val="hybridMultilevel"/>
    <w:tmpl w:val="96F4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576C8"/>
    <w:multiLevelType w:val="hybridMultilevel"/>
    <w:tmpl w:val="ADB21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24D8D"/>
    <w:multiLevelType w:val="hybridMultilevel"/>
    <w:tmpl w:val="DAAA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7D82"/>
    <w:multiLevelType w:val="hybridMultilevel"/>
    <w:tmpl w:val="69A0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C791E"/>
    <w:multiLevelType w:val="hybridMultilevel"/>
    <w:tmpl w:val="595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2182"/>
    <w:multiLevelType w:val="hybridMultilevel"/>
    <w:tmpl w:val="4AC60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2059288C"/>
    <w:multiLevelType w:val="hybridMultilevel"/>
    <w:tmpl w:val="9D28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76D6F"/>
    <w:multiLevelType w:val="hybridMultilevel"/>
    <w:tmpl w:val="0F5E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A5F29"/>
    <w:multiLevelType w:val="hybridMultilevel"/>
    <w:tmpl w:val="08504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954E8"/>
    <w:multiLevelType w:val="hybridMultilevel"/>
    <w:tmpl w:val="1FDA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A539F"/>
    <w:multiLevelType w:val="hybridMultilevel"/>
    <w:tmpl w:val="9E2C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D4DA5"/>
    <w:multiLevelType w:val="hybridMultilevel"/>
    <w:tmpl w:val="F8CA1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933CE"/>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54BBF"/>
    <w:multiLevelType w:val="hybridMultilevel"/>
    <w:tmpl w:val="ABBE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C7492"/>
    <w:multiLevelType w:val="hybridMultilevel"/>
    <w:tmpl w:val="A8D6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ED3"/>
    <w:multiLevelType w:val="hybridMultilevel"/>
    <w:tmpl w:val="6C98678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5ADF732C"/>
    <w:multiLevelType w:val="hybridMultilevel"/>
    <w:tmpl w:val="6266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553CD"/>
    <w:multiLevelType w:val="hybridMultilevel"/>
    <w:tmpl w:val="41BEA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410A7"/>
    <w:multiLevelType w:val="hybridMultilevel"/>
    <w:tmpl w:val="DC064C94"/>
    <w:lvl w:ilvl="0" w:tplc="E534935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5E924C10"/>
    <w:multiLevelType w:val="hybridMultilevel"/>
    <w:tmpl w:val="3188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5351D"/>
    <w:multiLevelType w:val="hybridMultilevel"/>
    <w:tmpl w:val="184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56EA4"/>
    <w:multiLevelType w:val="hybridMultilevel"/>
    <w:tmpl w:val="69FA0208"/>
    <w:lvl w:ilvl="0" w:tplc="DFFE9E6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93978"/>
    <w:multiLevelType w:val="hybridMultilevel"/>
    <w:tmpl w:val="F9C0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45BFD"/>
    <w:multiLevelType w:val="hybridMultilevel"/>
    <w:tmpl w:val="9AFE7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F12D0"/>
    <w:multiLevelType w:val="hybridMultilevel"/>
    <w:tmpl w:val="D1DA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EA6BF5"/>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F64E6"/>
    <w:multiLevelType w:val="hybridMultilevel"/>
    <w:tmpl w:val="2558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94A71"/>
    <w:multiLevelType w:val="hybridMultilevel"/>
    <w:tmpl w:val="2786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006DC"/>
    <w:multiLevelType w:val="hybridMultilevel"/>
    <w:tmpl w:val="9E6E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7D6E"/>
    <w:multiLevelType w:val="hybridMultilevel"/>
    <w:tmpl w:val="961C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96E96"/>
    <w:multiLevelType w:val="hybridMultilevel"/>
    <w:tmpl w:val="772EA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145BC"/>
    <w:multiLevelType w:val="hybridMultilevel"/>
    <w:tmpl w:val="519088C6"/>
    <w:lvl w:ilvl="0" w:tplc="1186A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D1637"/>
    <w:multiLevelType w:val="hybridMultilevel"/>
    <w:tmpl w:val="D598C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0E67CC"/>
    <w:multiLevelType w:val="hybridMultilevel"/>
    <w:tmpl w:val="487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55571"/>
    <w:multiLevelType w:val="hybridMultilevel"/>
    <w:tmpl w:val="8F9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E2E49"/>
    <w:multiLevelType w:val="hybridMultilevel"/>
    <w:tmpl w:val="C61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36"/>
  </w:num>
  <w:num w:numId="5">
    <w:abstractNumId w:val="9"/>
  </w:num>
  <w:num w:numId="6">
    <w:abstractNumId w:val="30"/>
  </w:num>
  <w:num w:numId="7">
    <w:abstractNumId w:val="10"/>
  </w:num>
  <w:num w:numId="8">
    <w:abstractNumId w:val="32"/>
  </w:num>
  <w:num w:numId="9">
    <w:abstractNumId w:val="23"/>
  </w:num>
  <w:num w:numId="10">
    <w:abstractNumId w:val="33"/>
  </w:num>
  <w:num w:numId="11">
    <w:abstractNumId w:val="19"/>
  </w:num>
  <w:num w:numId="12">
    <w:abstractNumId w:val="31"/>
  </w:num>
  <w:num w:numId="13">
    <w:abstractNumId w:val="12"/>
  </w:num>
  <w:num w:numId="14">
    <w:abstractNumId w:val="27"/>
  </w:num>
  <w:num w:numId="15">
    <w:abstractNumId w:val="42"/>
  </w:num>
  <w:num w:numId="16">
    <w:abstractNumId w:val="2"/>
  </w:num>
  <w:num w:numId="17">
    <w:abstractNumId w:val="40"/>
  </w:num>
  <w:num w:numId="18">
    <w:abstractNumId w:val="22"/>
  </w:num>
  <w:num w:numId="19">
    <w:abstractNumId w:val="26"/>
  </w:num>
  <w:num w:numId="20">
    <w:abstractNumId w:val="17"/>
  </w:num>
  <w:num w:numId="21">
    <w:abstractNumId w:val="11"/>
  </w:num>
  <w:num w:numId="22">
    <w:abstractNumId w:val="41"/>
  </w:num>
  <w:num w:numId="23">
    <w:abstractNumId w:val="25"/>
  </w:num>
  <w:num w:numId="24">
    <w:abstractNumId w:val="38"/>
  </w:num>
  <w:num w:numId="25">
    <w:abstractNumId w:val="29"/>
  </w:num>
  <w:num w:numId="26">
    <w:abstractNumId w:val="5"/>
  </w:num>
  <w:num w:numId="27">
    <w:abstractNumId w:val="20"/>
  </w:num>
  <w:num w:numId="28">
    <w:abstractNumId w:val="28"/>
  </w:num>
  <w:num w:numId="29">
    <w:abstractNumId w:val="6"/>
  </w:num>
  <w:num w:numId="30">
    <w:abstractNumId w:val="18"/>
  </w:num>
  <w:num w:numId="31">
    <w:abstractNumId w:val="8"/>
  </w:num>
  <w:num w:numId="32">
    <w:abstractNumId w:val="24"/>
  </w:num>
  <w:num w:numId="33">
    <w:abstractNumId w:val="16"/>
  </w:num>
  <w:num w:numId="34">
    <w:abstractNumId w:val="35"/>
  </w:num>
  <w:num w:numId="35">
    <w:abstractNumId w:val="34"/>
  </w:num>
  <w:num w:numId="36">
    <w:abstractNumId w:val="0"/>
  </w:num>
  <w:num w:numId="37">
    <w:abstractNumId w:val="21"/>
  </w:num>
  <w:num w:numId="38">
    <w:abstractNumId w:val="39"/>
  </w:num>
  <w:num w:numId="39">
    <w:abstractNumId w:val="14"/>
  </w:num>
  <w:num w:numId="40">
    <w:abstractNumId w:val="37"/>
  </w:num>
  <w:num w:numId="41">
    <w:abstractNumId w:val="15"/>
  </w:num>
  <w:num w:numId="42">
    <w:abstractNumId w:val="13"/>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155D7"/>
    <w:rsid w:val="0002465C"/>
    <w:rsid w:val="00033481"/>
    <w:rsid w:val="00036665"/>
    <w:rsid w:val="00042896"/>
    <w:rsid w:val="00080A1C"/>
    <w:rsid w:val="0008409D"/>
    <w:rsid w:val="00094034"/>
    <w:rsid w:val="00094646"/>
    <w:rsid w:val="000A29E6"/>
    <w:rsid w:val="000C13F6"/>
    <w:rsid w:val="000F6B11"/>
    <w:rsid w:val="00103AD1"/>
    <w:rsid w:val="00111BB7"/>
    <w:rsid w:val="001200EA"/>
    <w:rsid w:val="00134A21"/>
    <w:rsid w:val="00146993"/>
    <w:rsid w:val="001677BA"/>
    <w:rsid w:val="0017262A"/>
    <w:rsid w:val="00174B98"/>
    <w:rsid w:val="00186F3D"/>
    <w:rsid w:val="001937FC"/>
    <w:rsid w:val="001C7924"/>
    <w:rsid w:val="001D2DBF"/>
    <w:rsid w:val="001F0FA4"/>
    <w:rsid w:val="001F5A8D"/>
    <w:rsid w:val="001F7BEF"/>
    <w:rsid w:val="00210C76"/>
    <w:rsid w:val="00233B71"/>
    <w:rsid w:val="00235FF1"/>
    <w:rsid w:val="00236071"/>
    <w:rsid w:val="00251D0B"/>
    <w:rsid w:val="00291113"/>
    <w:rsid w:val="002A008A"/>
    <w:rsid w:val="002A2927"/>
    <w:rsid w:val="002A4D5D"/>
    <w:rsid w:val="002D3C73"/>
    <w:rsid w:val="003030BE"/>
    <w:rsid w:val="003242AE"/>
    <w:rsid w:val="00324CDC"/>
    <w:rsid w:val="003273FE"/>
    <w:rsid w:val="0033619F"/>
    <w:rsid w:val="00355370"/>
    <w:rsid w:val="00360132"/>
    <w:rsid w:val="0036653C"/>
    <w:rsid w:val="00376DBA"/>
    <w:rsid w:val="003A05AF"/>
    <w:rsid w:val="003A1CC3"/>
    <w:rsid w:val="003C12C4"/>
    <w:rsid w:val="003F2C81"/>
    <w:rsid w:val="00400F8C"/>
    <w:rsid w:val="00407494"/>
    <w:rsid w:val="00420F2E"/>
    <w:rsid w:val="00421327"/>
    <w:rsid w:val="00441011"/>
    <w:rsid w:val="00452D3F"/>
    <w:rsid w:val="00455171"/>
    <w:rsid w:val="0046652D"/>
    <w:rsid w:val="00467615"/>
    <w:rsid w:val="00470DAF"/>
    <w:rsid w:val="00480BE9"/>
    <w:rsid w:val="00483E26"/>
    <w:rsid w:val="00485F88"/>
    <w:rsid w:val="00492743"/>
    <w:rsid w:val="00494647"/>
    <w:rsid w:val="00496953"/>
    <w:rsid w:val="004B78A7"/>
    <w:rsid w:val="004C2515"/>
    <w:rsid w:val="004D5440"/>
    <w:rsid w:val="004E4137"/>
    <w:rsid w:val="004F1CC6"/>
    <w:rsid w:val="004F2C8C"/>
    <w:rsid w:val="00505937"/>
    <w:rsid w:val="00514A36"/>
    <w:rsid w:val="00515A06"/>
    <w:rsid w:val="0051779E"/>
    <w:rsid w:val="005202FC"/>
    <w:rsid w:val="00521836"/>
    <w:rsid w:val="00556584"/>
    <w:rsid w:val="00561F2E"/>
    <w:rsid w:val="00562774"/>
    <w:rsid w:val="00586D6A"/>
    <w:rsid w:val="00587191"/>
    <w:rsid w:val="005A51DA"/>
    <w:rsid w:val="005A5277"/>
    <w:rsid w:val="005B715C"/>
    <w:rsid w:val="005C081C"/>
    <w:rsid w:val="005D5AC8"/>
    <w:rsid w:val="005D72CB"/>
    <w:rsid w:val="005F08D8"/>
    <w:rsid w:val="005F1B99"/>
    <w:rsid w:val="00622430"/>
    <w:rsid w:val="0062387D"/>
    <w:rsid w:val="0062720E"/>
    <w:rsid w:val="00627D5C"/>
    <w:rsid w:val="00665985"/>
    <w:rsid w:val="00680676"/>
    <w:rsid w:val="00682E8B"/>
    <w:rsid w:val="00687A68"/>
    <w:rsid w:val="006952B8"/>
    <w:rsid w:val="006B34F1"/>
    <w:rsid w:val="006D3722"/>
    <w:rsid w:val="006E69DE"/>
    <w:rsid w:val="007034F5"/>
    <w:rsid w:val="00706CE4"/>
    <w:rsid w:val="00710CF8"/>
    <w:rsid w:val="007175BF"/>
    <w:rsid w:val="00727FAA"/>
    <w:rsid w:val="00731370"/>
    <w:rsid w:val="00746747"/>
    <w:rsid w:val="007547D6"/>
    <w:rsid w:val="00755437"/>
    <w:rsid w:val="007615F2"/>
    <w:rsid w:val="00781F2C"/>
    <w:rsid w:val="007917F8"/>
    <w:rsid w:val="007B3D4C"/>
    <w:rsid w:val="007B5D85"/>
    <w:rsid w:val="007C550D"/>
    <w:rsid w:val="007D1E27"/>
    <w:rsid w:val="007E1549"/>
    <w:rsid w:val="007F63E4"/>
    <w:rsid w:val="0081480D"/>
    <w:rsid w:val="008247FF"/>
    <w:rsid w:val="0084651B"/>
    <w:rsid w:val="008523B3"/>
    <w:rsid w:val="00887DBB"/>
    <w:rsid w:val="008A4BE2"/>
    <w:rsid w:val="008B6885"/>
    <w:rsid w:val="008D2A95"/>
    <w:rsid w:val="008E4063"/>
    <w:rsid w:val="008F45C9"/>
    <w:rsid w:val="0090787A"/>
    <w:rsid w:val="00910866"/>
    <w:rsid w:val="00912DB0"/>
    <w:rsid w:val="00914F0C"/>
    <w:rsid w:val="009164F6"/>
    <w:rsid w:val="00916D77"/>
    <w:rsid w:val="009535B7"/>
    <w:rsid w:val="009623EA"/>
    <w:rsid w:val="009826EA"/>
    <w:rsid w:val="009A284C"/>
    <w:rsid w:val="009A7CE9"/>
    <w:rsid w:val="009E1BF9"/>
    <w:rsid w:val="009F6F2E"/>
    <w:rsid w:val="00A01098"/>
    <w:rsid w:val="00A020A0"/>
    <w:rsid w:val="00A03F9C"/>
    <w:rsid w:val="00A12DFF"/>
    <w:rsid w:val="00A1457F"/>
    <w:rsid w:val="00A220B6"/>
    <w:rsid w:val="00A2331B"/>
    <w:rsid w:val="00A26A4A"/>
    <w:rsid w:val="00A31995"/>
    <w:rsid w:val="00A3333D"/>
    <w:rsid w:val="00A40E96"/>
    <w:rsid w:val="00A427DB"/>
    <w:rsid w:val="00A45353"/>
    <w:rsid w:val="00A54E44"/>
    <w:rsid w:val="00A65182"/>
    <w:rsid w:val="00A6518B"/>
    <w:rsid w:val="00A66C9E"/>
    <w:rsid w:val="00A753CA"/>
    <w:rsid w:val="00A77E50"/>
    <w:rsid w:val="00A81AA8"/>
    <w:rsid w:val="00A95434"/>
    <w:rsid w:val="00A97BF8"/>
    <w:rsid w:val="00AA0A2F"/>
    <w:rsid w:val="00AB6785"/>
    <w:rsid w:val="00AB72ED"/>
    <w:rsid w:val="00AC11F8"/>
    <w:rsid w:val="00AD25D6"/>
    <w:rsid w:val="00AE21AC"/>
    <w:rsid w:val="00B10232"/>
    <w:rsid w:val="00B22363"/>
    <w:rsid w:val="00B24A3E"/>
    <w:rsid w:val="00B574AF"/>
    <w:rsid w:val="00B6273A"/>
    <w:rsid w:val="00B919F8"/>
    <w:rsid w:val="00B93C3E"/>
    <w:rsid w:val="00BA2983"/>
    <w:rsid w:val="00BF492C"/>
    <w:rsid w:val="00BF5ED4"/>
    <w:rsid w:val="00C4438F"/>
    <w:rsid w:val="00C46D7C"/>
    <w:rsid w:val="00C54C8C"/>
    <w:rsid w:val="00C876F2"/>
    <w:rsid w:val="00C9359E"/>
    <w:rsid w:val="00C96FBA"/>
    <w:rsid w:val="00CA4769"/>
    <w:rsid w:val="00CB7604"/>
    <w:rsid w:val="00D27D09"/>
    <w:rsid w:val="00D500E7"/>
    <w:rsid w:val="00D70F6B"/>
    <w:rsid w:val="00D71FF6"/>
    <w:rsid w:val="00D72A20"/>
    <w:rsid w:val="00D754F3"/>
    <w:rsid w:val="00DA3BB5"/>
    <w:rsid w:val="00DA7631"/>
    <w:rsid w:val="00DB2D3E"/>
    <w:rsid w:val="00DC3F87"/>
    <w:rsid w:val="00DD557A"/>
    <w:rsid w:val="00E01522"/>
    <w:rsid w:val="00E1490B"/>
    <w:rsid w:val="00E300C9"/>
    <w:rsid w:val="00E33C8D"/>
    <w:rsid w:val="00E36294"/>
    <w:rsid w:val="00E764E7"/>
    <w:rsid w:val="00E843F5"/>
    <w:rsid w:val="00E87BB4"/>
    <w:rsid w:val="00E92C1C"/>
    <w:rsid w:val="00E938F7"/>
    <w:rsid w:val="00EB36AA"/>
    <w:rsid w:val="00EE1A81"/>
    <w:rsid w:val="00EE1BBF"/>
    <w:rsid w:val="00EE4C80"/>
    <w:rsid w:val="00F17E2A"/>
    <w:rsid w:val="00F246C8"/>
    <w:rsid w:val="00F26C3C"/>
    <w:rsid w:val="00F333DA"/>
    <w:rsid w:val="00F85D5B"/>
    <w:rsid w:val="00FB4A42"/>
    <w:rsid w:val="00FC4F9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F63D"/>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uiPriority w:val="99"/>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 w:type="table" w:styleId="TableGrid">
    <w:name w:val="Table Grid"/>
    <w:basedOn w:val="TableNormal"/>
    <w:uiPriority w:val="59"/>
    <w:rsid w:val="00A81A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1AA8"/>
    <w:rPr>
      <w:rFonts w:eastAsia="Times New Roman"/>
      <w:sz w:val="22"/>
      <w:szCs w:val="22"/>
    </w:rPr>
  </w:style>
  <w:style w:type="character" w:customStyle="1" w:styleId="NoSpacingChar">
    <w:name w:val="No Spacing Char"/>
    <w:link w:val="NoSpacing"/>
    <w:uiPriority w:val="1"/>
    <w:rsid w:val="00A81AA8"/>
    <w:rPr>
      <w:rFonts w:eastAsia="Times New Roman"/>
      <w:sz w:val="22"/>
      <w:szCs w:val="22"/>
    </w:rPr>
  </w:style>
  <w:style w:type="numbering" w:customStyle="1" w:styleId="NoList1">
    <w:name w:val="No List1"/>
    <w:next w:val="NoList"/>
    <w:uiPriority w:val="99"/>
    <w:semiHidden/>
    <w:unhideWhenUsed/>
    <w:rsid w:val="00561F2E"/>
  </w:style>
  <w:style w:type="table" w:customStyle="1" w:styleId="TableGrid1">
    <w:name w:val="Table Grid1"/>
    <w:basedOn w:val="TableNormal"/>
    <w:next w:val="TableGrid"/>
    <w:uiPriority w:val="59"/>
    <w:rsid w:val="00561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2927"/>
  </w:style>
  <w:style w:type="numbering" w:customStyle="1" w:styleId="NoList3">
    <w:name w:val="No List3"/>
    <w:next w:val="NoList"/>
    <w:uiPriority w:val="99"/>
    <w:semiHidden/>
    <w:unhideWhenUsed/>
    <w:rsid w:val="003A05AF"/>
  </w:style>
  <w:style w:type="table" w:customStyle="1" w:styleId="TableGrid2">
    <w:name w:val="Table Grid2"/>
    <w:basedOn w:val="TableNormal"/>
    <w:next w:val="TableGrid"/>
    <w:uiPriority w:val="59"/>
    <w:rsid w:val="003A05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20F2E"/>
  </w:style>
  <w:style w:type="table" w:customStyle="1" w:styleId="TableGrid3">
    <w:name w:val="Table Grid3"/>
    <w:basedOn w:val="TableNormal"/>
    <w:next w:val="TableGrid"/>
    <w:uiPriority w:val="59"/>
    <w:rsid w:val="00420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36653C"/>
  </w:style>
  <w:style w:type="character" w:customStyle="1" w:styleId="icon">
    <w:name w:val="icon"/>
    <w:basedOn w:val="DefaultParagraphFont"/>
    <w:rsid w:val="0036653C"/>
  </w:style>
  <w:style w:type="character" w:customStyle="1" w:styleId="count">
    <w:name w:val="count"/>
    <w:basedOn w:val="DefaultParagraphFont"/>
    <w:rsid w:val="0036653C"/>
  </w:style>
  <w:style w:type="character" w:customStyle="1" w:styleId="fcg">
    <w:name w:val="fcg"/>
    <w:basedOn w:val="DefaultParagraphFont"/>
    <w:rsid w:val="0036653C"/>
  </w:style>
  <w:style w:type="character" w:customStyle="1" w:styleId="fwb">
    <w:name w:val="fwb"/>
    <w:basedOn w:val="DefaultParagraphFont"/>
    <w:rsid w:val="0036653C"/>
  </w:style>
  <w:style w:type="character" w:customStyle="1" w:styleId="fsm">
    <w:name w:val="fsm"/>
    <w:basedOn w:val="DefaultParagraphFont"/>
    <w:rsid w:val="0036653C"/>
  </w:style>
  <w:style w:type="character" w:customStyle="1" w:styleId="timestampcontent">
    <w:name w:val="timestampcontent"/>
    <w:basedOn w:val="DefaultParagraphFont"/>
    <w:rsid w:val="0036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746">
      <w:bodyDiv w:val="1"/>
      <w:marLeft w:val="0"/>
      <w:marRight w:val="0"/>
      <w:marTop w:val="0"/>
      <w:marBottom w:val="0"/>
      <w:divBdr>
        <w:top w:val="none" w:sz="0" w:space="0" w:color="auto"/>
        <w:left w:val="none" w:sz="0" w:space="0" w:color="auto"/>
        <w:bottom w:val="none" w:sz="0" w:space="0" w:color="auto"/>
        <w:right w:val="none" w:sz="0" w:space="0" w:color="auto"/>
      </w:divBdr>
    </w:div>
    <w:div w:id="366376599">
      <w:bodyDiv w:val="1"/>
      <w:marLeft w:val="0"/>
      <w:marRight w:val="0"/>
      <w:marTop w:val="0"/>
      <w:marBottom w:val="0"/>
      <w:divBdr>
        <w:top w:val="none" w:sz="0" w:space="0" w:color="auto"/>
        <w:left w:val="none" w:sz="0" w:space="0" w:color="auto"/>
        <w:bottom w:val="none" w:sz="0" w:space="0" w:color="auto"/>
        <w:right w:val="none" w:sz="0" w:space="0" w:color="auto"/>
      </w:divBdr>
    </w:div>
    <w:div w:id="1473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2.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03A1E5-E47C-4F62-B670-64A173DD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Islam Btoush</cp:lastModifiedBy>
  <cp:revision>39</cp:revision>
  <cp:lastPrinted>2019-06-19T07:36:00Z</cp:lastPrinted>
  <dcterms:created xsi:type="dcterms:W3CDTF">2019-07-24T06:45:00Z</dcterms:created>
  <dcterms:modified xsi:type="dcterms:W3CDTF">2020-01-23T13:33:00Z</dcterms:modified>
</cp:coreProperties>
</file>